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1EC" w:rsidRDefault="002121F5">
      <w:pPr>
        <w:pStyle w:val="Titolo"/>
        <w:rPr>
          <w:b w:val="0"/>
          <w:i w:val="0"/>
          <w:sz w:val="40"/>
        </w:rPr>
      </w:pPr>
      <w:bookmarkStart w:id="0" w:name="_GoBack"/>
      <w:bookmarkEnd w:id="0"/>
      <w:r>
        <w:rPr>
          <w:b w:val="0"/>
          <w:i w:val="0"/>
          <w:sz w:val="40"/>
        </w:rPr>
        <w:t>COMUNE DI …………….</w:t>
      </w:r>
    </w:p>
    <w:p w:rsidR="001811EC" w:rsidRDefault="002121F5">
      <w:pPr>
        <w:pStyle w:val="Titolo"/>
        <w:rPr>
          <w:i w:val="0"/>
          <w:sz w:val="40"/>
        </w:rPr>
      </w:pPr>
      <w:r>
        <w:rPr>
          <w:b w:val="0"/>
          <w:i w:val="0"/>
          <w:sz w:val="40"/>
        </w:rPr>
        <w:t>Provincia di ……..</w:t>
      </w:r>
    </w:p>
    <w:p w:rsidR="001811EC" w:rsidRDefault="001811EC">
      <w:pPr>
        <w:pStyle w:val="Titolo"/>
        <w:pBdr>
          <w:top w:val="thickThinSmallGap" w:sz="18" w:space="1" w:color="auto"/>
          <w:left w:val="thickThinSmallGap" w:sz="18" w:space="4" w:color="auto"/>
          <w:bottom w:val="thinThickSmallGap" w:sz="18" w:space="1" w:color="auto"/>
          <w:right w:val="thinThickSmallGap" w:sz="18" w:space="4" w:color="auto"/>
        </w:pBdr>
        <w:rPr>
          <w:i w:val="0"/>
          <w:sz w:val="40"/>
        </w:rPr>
      </w:pPr>
    </w:p>
    <w:p w:rsidR="001811EC" w:rsidRDefault="002121F5">
      <w:pPr>
        <w:pStyle w:val="Titolo"/>
        <w:pBdr>
          <w:top w:val="thickThinSmallGap" w:sz="18" w:space="1" w:color="auto"/>
          <w:left w:val="thickThinSmallGap" w:sz="18" w:space="4" w:color="auto"/>
          <w:bottom w:val="thinThickSmallGap" w:sz="18" w:space="1" w:color="auto"/>
          <w:right w:val="thinThickSmallGap" w:sz="18" w:space="4" w:color="auto"/>
        </w:pBdr>
        <w:rPr>
          <w:i w:val="0"/>
          <w:sz w:val="40"/>
        </w:rPr>
      </w:pPr>
      <w:r>
        <w:rPr>
          <w:i w:val="0"/>
          <w:sz w:val="40"/>
        </w:rPr>
        <w:t>PARERE DELL’ORGANO DI REVISIONE</w:t>
      </w:r>
    </w:p>
    <w:p w:rsidR="001811EC" w:rsidRDefault="002121F5">
      <w:pPr>
        <w:pStyle w:val="Titolo"/>
        <w:pBdr>
          <w:top w:val="thickThinSmallGap" w:sz="18" w:space="1" w:color="auto"/>
          <w:left w:val="thickThinSmallGap" w:sz="18" w:space="4" w:color="auto"/>
          <w:bottom w:val="thinThickSmallGap" w:sz="18" w:space="1" w:color="auto"/>
          <w:right w:val="thinThickSmallGap" w:sz="18" w:space="4" w:color="auto"/>
        </w:pBdr>
        <w:rPr>
          <w:i w:val="0"/>
          <w:sz w:val="28"/>
        </w:rPr>
      </w:pPr>
      <w:r>
        <w:rPr>
          <w:i w:val="0"/>
          <w:sz w:val="28"/>
        </w:rPr>
        <w:t>SULLA PROPOSTA DI</w:t>
      </w:r>
    </w:p>
    <w:p w:rsidR="001811EC" w:rsidRDefault="002121F5">
      <w:pPr>
        <w:pStyle w:val="Titolo"/>
        <w:pBdr>
          <w:top w:val="thickThinSmallGap" w:sz="18" w:space="1" w:color="auto"/>
          <w:left w:val="thickThinSmallGap" w:sz="18" w:space="4" w:color="auto"/>
          <w:bottom w:val="thinThickSmallGap" w:sz="18" w:space="1" w:color="auto"/>
          <w:right w:val="thinThickSmallGap" w:sz="18" w:space="4" w:color="auto"/>
        </w:pBdr>
        <w:rPr>
          <w:i w:val="0"/>
          <w:sz w:val="44"/>
        </w:rPr>
      </w:pPr>
      <w:r>
        <w:rPr>
          <w:i w:val="0"/>
          <w:sz w:val="44"/>
        </w:rPr>
        <w:t>BILANCIO DI PREVISIONE 2017-2019</w:t>
      </w:r>
    </w:p>
    <w:p w:rsidR="001811EC" w:rsidRDefault="001811EC">
      <w:pPr>
        <w:pStyle w:val="Titolo"/>
        <w:pBdr>
          <w:top w:val="thickThinSmallGap" w:sz="18" w:space="1" w:color="auto"/>
          <w:left w:val="thickThinSmallGap" w:sz="18" w:space="4" w:color="auto"/>
          <w:bottom w:val="thinThickSmallGap" w:sz="18" w:space="1" w:color="auto"/>
          <w:right w:val="thinThickSmallGap" w:sz="18" w:space="4" w:color="auto"/>
        </w:pBdr>
        <w:rPr>
          <w:i w:val="0"/>
          <w:sz w:val="44"/>
        </w:rPr>
      </w:pPr>
    </w:p>
    <w:p w:rsidR="001811EC" w:rsidRDefault="002121F5">
      <w:pPr>
        <w:pStyle w:val="Titolo"/>
        <w:pBdr>
          <w:top w:val="thickThinSmallGap" w:sz="18" w:space="1" w:color="auto"/>
          <w:left w:val="thickThinSmallGap" w:sz="18" w:space="4" w:color="auto"/>
          <w:bottom w:val="thinThickSmallGap" w:sz="18" w:space="1" w:color="auto"/>
          <w:right w:val="thinThickSmallGap" w:sz="18" w:space="4" w:color="auto"/>
        </w:pBdr>
        <w:rPr>
          <w:i w:val="0"/>
          <w:sz w:val="28"/>
        </w:rPr>
      </w:pPr>
      <w:r>
        <w:rPr>
          <w:i w:val="0"/>
          <w:sz w:val="28"/>
        </w:rPr>
        <w:t>E DOCUMENTI ALLEGATI</w:t>
      </w:r>
    </w:p>
    <w:p w:rsidR="001811EC" w:rsidRDefault="001811EC">
      <w:pPr>
        <w:pStyle w:val="Titolo"/>
        <w:pBdr>
          <w:top w:val="thickThinSmallGap" w:sz="18" w:space="1" w:color="auto"/>
          <w:left w:val="thickThinSmallGap" w:sz="18" w:space="4" w:color="auto"/>
          <w:bottom w:val="thinThickSmallGap" w:sz="18" w:space="1" w:color="auto"/>
          <w:right w:val="thinThickSmallGap" w:sz="18" w:space="4" w:color="auto"/>
        </w:pBdr>
        <w:rPr>
          <w:b w:val="0"/>
          <w:i w:val="0"/>
          <w:sz w:val="28"/>
        </w:rPr>
      </w:pPr>
    </w:p>
    <w:p w:rsidR="001811EC" w:rsidRDefault="001811EC">
      <w:pPr>
        <w:pStyle w:val="Titolo"/>
        <w:rPr>
          <w:i w:val="0"/>
          <w:sz w:val="28"/>
        </w:rPr>
      </w:pPr>
    </w:p>
    <w:p w:rsidR="001811EC" w:rsidRDefault="002121F5">
      <w:pPr>
        <w:pStyle w:val="Titolo"/>
        <w:rPr>
          <w:b w:val="0"/>
          <w:sz w:val="28"/>
        </w:rPr>
      </w:pPr>
      <w:r>
        <w:rPr>
          <w:b w:val="0"/>
          <w:sz w:val="28"/>
        </w:rPr>
        <w:t>L’ORGANO DI REVISIONE</w:t>
      </w:r>
    </w:p>
    <w:p w:rsidR="001811EC" w:rsidRDefault="002121F5">
      <w:pPr>
        <w:pStyle w:val="Titolo"/>
        <w:rPr>
          <w:b w:val="0"/>
          <w:sz w:val="28"/>
        </w:rPr>
      </w:pPr>
      <w:r>
        <w:rPr>
          <w:b w:val="0"/>
          <w:sz w:val="28"/>
        </w:rPr>
        <w:t xml:space="preserve"> _________________</w:t>
      </w:r>
    </w:p>
    <w:p w:rsidR="001811EC" w:rsidRDefault="002121F5">
      <w:pPr>
        <w:pStyle w:val="Titolo"/>
        <w:rPr>
          <w:b w:val="0"/>
          <w:sz w:val="28"/>
        </w:rPr>
      </w:pPr>
      <w:r>
        <w:rPr>
          <w:b w:val="0"/>
          <w:sz w:val="28"/>
        </w:rPr>
        <w:t>_________________</w:t>
      </w:r>
    </w:p>
    <w:p w:rsidR="001811EC" w:rsidRDefault="002121F5">
      <w:pPr>
        <w:pStyle w:val="Titolo"/>
        <w:rPr>
          <w:b w:val="0"/>
          <w:sz w:val="28"/>
        </w:rPr>
      </w:pPr>
      <w:r>
        <w:rPr>
          <w:b w:val="0"/>
          <w:sz w:val="28"/>
        </w:rPr>
        <w:t>_________________</w:t>
      </w:r>
    </w:p>
    <w:p w:rsidR="001811EC" w:rsidRDefault="001811EC">
      <w:pPr>
        <w:pStyle w:val="Titolo"/>
        <w:rPr>
          <w:b w:val="0"/>
          <w:sz w:val="28"/>
        </w:rPr>
      </w:pPr>
    </w:p>
    <w:p w:rsidR="001811EC" w:rsidRDefault="002121F5">
      <w:pPr>
        <w:pStyle w:val="cpv"/>
        <w:widowControl/>
        <w:spacing w:before="220"/>
        <w:jc w:val="center"/>
        <w:rPr>
          <w:rFonts w:ascii="Arial" w:hAnsi="Arial" w:cs="Arial"/>
          <w:b/>
          <w:sz w:val="32"/>
        </w:rPr>
      </w:pPr>
      <w:r>
        <w:rPr>
          <w:rFonts w:ascii="Arial" w:hAnsi="Arial" w:cs="Arial"/>
          <w:b/>
          <w:sz w:val="32"/>
        </w:rPr>
        <w:br w:type="page"/>
      </w:r>
    </w:p>
    <w:p w:rsidR="001811EC" w:rsidRDefault="002121F5">
      <w:pPr>
        <w:pStyle w:val="cpv"/>
        <w:widowControl/>
        <w:spacing w:before="220"/>
        <w:jc w:val="center"/>
        <w:rPr>
          <w:rFonts w:ascii="Arial" w:hAnsi="Arial" w:cs="Arial"/>
          <w:b/>
          <w:i/>
          <w:color w:val="0070C0"/>
          <w:sz w:val="32"/>
        </w:rPr>
      </w:pPr>
      <w:r>
        <w:rPr>
          <w:rFonts w:ascii="Arial" w:hAnsi="Arial" w:cs="Arial"/>
          <w:b/>
          <w:i/>
          <w:color w:val="0070C0"/>
          <w:sz w:val="32"/>
        </w:rPr>
        <w:lastRenderedPageBreak/>
        <w:t>Premessa</w:t>
      </w:r>
    </w:p>
    <w:p w:rsidR="001811EC" w:rsidRDefault="001811EC">
      <w:pPr>
        <w:pStyle w:val="cpv"/>
        <w:widowControl/>
        <w:spacing w:before="220"/>
        <w:jc w:val="center"/>
        <w:rPr>
          <w:rFonts w:ascii="Arial" w:hAnsi="Arial" w:cs="Arial"/>
          <w:b/>
          <w:i/>
          <w:color w:val="0070C0"/>
          <w:sz w:val="32"/>
        </w:rPr>
      </w:pPr>
    </w:p>
    <w:p w:rsidR="001811EC" w:rsidRDefault="002121F5">
      <w:pPr>
        <w:pStyle w:val="cpv"/>
        <w:widowControl/>
        <w:spacing w:before="220"/>
        <w:rPr>
          <w:rFonts w:ascii="Arial" w:hAnsi="Arial" w:cs="Arial"/>
          <w:i/>
          <w:color w:val="0070C0"/>
          <w:sz w:val="22"/>
          <w:szCs w:val="22"/>
        </w:rPr>
      </w:pPr>
      <w:r>
        <w:rPr>
          <w:rFonts w:ascii="Arial" w:hAnsi="Arial" w:cs="Arial"/>
          <w:i/>
          <w:color w:val="0070C0"/>
          <w:sz w:val="22"/>
          <w:szCs w:val="22"/>
        </w:rPr>
        <w:t xml:space="preserve"> A decorrere dal 2016 gli enti territoriali, i loro organismi strumentali e i loro enti strumentali in contabilità finanziaria approvano il bilancio di previsione almeno triennale, secondo lo schema di cui all’</w:t>
      </w:r>
      <w:hyperlink r:id="rId9" w:history="1">
        <w:r>
          <w:rPr>
            <w:rStyle w:val="Collegamentoipertestuale"/>
            <w:rFonts w:ascii="Arial" w:hAnsi="Arial" w:cs="Arial"/>
            <w:i/>
            <w:sz w:val="22"/>
            <w:szCs w:val="22"/>
          </w:rPr>
          <w:t xml:space="preserve">allegato n. 9 al </w:t>
        </w:r>
        <w:proofErr w:type="spellStart"/>
        <w:r>
          <w:rPr>
            <w:rStyle w:val="Collegamentoipertestuale"/>
            <w:rFonts w:ascii="Arial" w:hAnsi="Arial" w:cs="Arial"/>
            <w:i/>
            <w:sz w:val="22"/>
            <w:szCs w:val="22"/>
          </w:rPr>
          <w:t>D.Lgs.</w:t>
        </w:r>
        <w:proofErr w:type="spellEnd"/>
        <w:r>
          <w:rPr>
            <w:rStyle w:val="Collegamentoipertestuale"/>
            <w:rFonts w:ascii="Arial" w:hAnsi="Arial" w:cs="Arial"/>
            <w:i/>
            <w:sz w:val="22"/>
            <w:szCs w:val="22"/>
          </w:rPr>
          <w:t xml:space="preserve"> n. 118/2011</w:t>
        </w:r>
      </w:hyperlink>
      <w:r>
        <w:rPr>
          <w:rFonts w:ascii="Arial" w:hAnsi="Arial" w:cs="Arial"/>
          <w:i/>
          <w:color w:val="0070C0"/>
          <w:sz w:val="22"/>
          <w:szCs w:val="22"/>
        </w:rPr>
        <w:t xml:space="preserve">. </w:t>
      </w:r>
    </w:p>
    <w:p w:rsidR="001811EC" w:rsidRDefault="002121F5">
      <w:pPr>
        <w:pStyle w:val="cpv"/>
        <w:widowControl/>
        <w:spacing w:before="220"/>
        <w:rPr>
          <w:rFonts w:ascii="Arial" w:hAnsi="Arial" w:cs="Arial"/>
          <w:i/>
          <w:color w:val="0070C0"/>
          <w:sz w:val="22"/>
          <w:szCs w:val="22"/>
        </w:rPr>
      </w:pPr>
      <w:r>
        <w:rPr>
          <w:rFonts w:ascii="Arial" w:hAnsi="Arial" w:cs="Arial"/>
          <w:i/>
          <w:color w:val="0070C0"/>
          <w:sz w:val="22"/>
          <w:szCs w:val="22"/>
        </w:rPr>
        <w:t xml:space="preserve">Per l’elaborazione del bilancio di previsione 2017-2019 occorre fare riferimento alla </w:t>
      </w:r>
      <w:hyperlink r:id="rId10" w:history="1">
        <w:r>
          <w:rPr>
            <w:rStyle w:val="Collegamentoipertestuale"/>
            <w:rFonts w:ascii="Arial" w:hAnsi="Arial" w:cs="Arial"/>
            <w:i/>
            <w:sz w:val="22"/>
            <w:szCs w:val="22"/>
          </w:rPr>
          <w:t>Legge 243/2012</w:t>
        </w:r>
      </w:hyperlink>
      <w:r>
        <w:rPr>
          <w:rFonts w:ascii="Arial" w:hAnsi="Arial" w:cs="Arial"/>
          <w:i/>
          <w:color w:val="0070C0"/>
          <w:sz w:val="22"/>
          <w:szCs w:val="22"/>
        </w:rPr>
        <w:t xml:space="preserve"> come integrata e modificata della </w:t>
      </w:r>
      <w:hyperlink r:id="rId11" w:history="1">
        <w:r>
          <w:rPr>
            <w:rStyle w:val="Collegamentoipertestuale"/>
            <w:rFonts w:ascii="Arial" w:hAnsi="Arial" w:cs="Arial"/>
            <w:i/>
            <w:sz w:val="22"/>
            <w:szCs w:val="22"/>
          </w:rPr>
          <w:t>Legge 164/2016</w:t>
        </w:r>
      </w:hyperlink>
      <w:r>
        <w:rPr>
          <w:rFonts w:ascii="Arial" w:hAnsi="Arial" w:cs="Arial"/>
          <w:i/>
          <w:color w:val="0070C0"/>
          <w:sz w:val="22"/>
          <w:szCs w:val="22"/>
        </w:rPr>
        <w:t xml:space="preserve"> e in particolare agli articoli 9 e 10.</w:t>
      </w:r>
    </w:p>
    <w:p w:rsidR="001811EC" w:rsidRDefault="002121F5">
      <w:pPr>
        <w:pStyle w:val="cpv"/>
        <w:widowControl/>
        <w:spacing w:before="220"/>
        <w:rPr>
          <w:rFonts w:ascii="Arial" w:hAnsi="Arial" w:cs="Arial"/>
          <w:i/>
          <w:color w:val="0070C0"/>
          <w:sz w:val="22"/>
          <w:szCs w:val="22"/>
        </w:rPr>
      </w:pPr>
      <w:r>
        <w:rPr>
          <w:rFonts w:ascii="Arial" w:hAnsi="Arial" w:cs="Arial"/>
          <w:i/>
          <w:color w:val="0070C0"/>
          <w:sz w:val="22"/>
          <w:szCs w:val="22"/>
        </w:rPr>
        <w:t>Ai fini della verifica della previsione con gli obiettivi di finanza pubblica richiesti dall’</w:t>
      </w:r>
      <w:hyperlink r:id="rId12" w:history="1">
        <w:r>
          <w:rPr>
            <w:rStyle w:val="Collegamentoipertestuale"/>
            <w:rFonts w:ascii="Arial" w:hAnsi="Arial" w:cs="Arial"/>
            <w:i/>
            <w:sz w:val="22"/>
            <w:szCs w:val="22"/>
          </w:rPr>
          <w:t>art. 9 della citata legge 243/2012</w:t>
        </w:r>
      </w:hyperlink>
      <w:r>
        <w:rPr>
          <w:rFonts w:ascii="Arial" w:hAnsi="Arial" w:cs="Arial"/>
          <w:i/>
          <w:color w:val="0070C0"/>
          <w:sz w:val="22"/>
          <w:szCs w:val="22"/>
        </w:rPr>
        <w:t xml:space="preserve">, la </w:t>
      </w:r>
      <w:hyperlink r:id="rId13" w:history="1">
        <w:r w:rsidRPr="0061556B">
          <w:rPr>
            <w:rStyle w:val="Collegamentoipertestuale"/>
            <w:rFonts w:ascii="Arial" w:hAnsi="Arial" w:cs="Arial"/>
            <w:i/>
            <w:sz w:val="22"/>
            <w:szCs w:val="22"/>
          </w:rPr>
          <w:t>legge di bilancio 2017</w:t>
        </w:r>
      </w:hyperlink>
      <w:r>
        <w:rPr>
          <w:rFonts w:ascii="Arial" w:hAnsi="Arial" w:cs="Arial"/>
          <w:i/>
          <w:color w:val="0070C0"/>
          <w:sz w:val="22"/>
          <w:szCs w:val="22"/>
        </w:rPr>
        <w:t xml:space="preserve"> prevede che a decorrere dal 2017, gli enti debbano conseguire un saldo non negativo, in termini di competenza, tra le entrate finali e le spese finali.</w:t>
      </w:r>
    </w:p>
    <w:p w:rsidR="001811EC" w:rsidRDefault="002121F5">
      <w:pPr>
        <w:pStyle w:val="cpv"/>
        <w:widowControl/>
        <w:spacing w:before="220"/>
        <w:rPr>
          <w:rFonts w:ascii="Arial" w:hAnsi="Arial" w:cs="Arial"/>
          <w:i/>
          <w:color w:val="0070C0"/>
          <w:sz w:val="22"/>
          <w:szCs w:val="22"/>
        </w:rPr>
      </w:pPr>
      <w:r>
        <w:rPr>
          <w:rFonts w:ascii="Arial" w:hAnsi="Arial" w:cs="Arial"/>
          <w:i/>
          <w:color w:val="0070C0"/>
          <w:sz w:val="22"/>
          <w:szCs w:val="22"/>
        </w:rPr>
        <w:t>Le entrate finali sono quelle iscrivibili ai titoli 1,</w:t>
      </w:r>
      <w:r w:rsidR="005C4A43">
        <w:rPr>
          <w:rFonts w:ascii="Arial" w:hAnsi="Arial" w:cs="Arial"/>
          <w:i/>
          <w:color w:val="0070C0"/>
          <w:sz w:val="22"/>
          <w:szCs w:val="22"/>
        </w:rPr>
        <w:t xml:space="preserve"> </w:t>
      </w:r>
      <w:r>
        <w:rPr>
          <w:rFonts w:ascii="Arial" w:hAnsi="Arial" w:cs="Arial"/>
          <w:i/>
          <w:color w:val="0070C0"/>
          <w:sz w:val="22"/>
          <w:szCs w:val="22"/>
        </w:rPr>
        <w:t>2,</w:t>
      </w:r>
      <w:r w:rsidR="005C4A43">
        <w:rPr>
          <w:rFonts w:ascii="Arial" w:hAnsi="Arial" w:cs="Arial"/>
          <w:i/>
          <w:color w:val="0070C0"/>
          <w:sz w:val="22"/>
          <w:szCs w:val="22"/>
        </w:rPr>
        <w:t xml:space="preserve"> </w:t>
      </w:r>
      <w:r>
        <w:rPr>
          <w:rFonts w:ascii="Arial" w:hAnsi="Arial" w:cs="Arial"/>
          <w:i/>
          <w:color w:val="0070C0"/>
          <w:sz w:val="22"/>
          <w:szCs w:val="22"/>
        </w:rPr>
        <w:t>3,</w:t>
      </w:r>
      <w:r w:rsidR="005C4A43">
        <w:rPr>
          <w:rFonts w:ascii="Arial" w:hAnsi="Arial" w:cs="Arial"/>
          <w:i/>
          <w:color w:val="0070C0"/>
          <w:sz w:val="22"/>
          <w:szCs w:val="22"/>
        </w:rPr>
        <w:t xml:space="preserve"> </w:t>
      </w:r>
      <w:r>
        <w:rPr>
          <w:rFonts w:ascii="Arial" w:hAnsi="Arial" w:cs="Arial"/>
          <w:i/>
          <w:color w:val="0070C0"/>
          <w:sz w:val="22"/>
          <w:szCs w:val="22"/>
        </w:rPr>
        <w:t>4 e 5, le spese finali sono quelle iscrivibili ai titoli 1,2 e 3 dello schema di bilancio.</w:t>
      </w:r>
    </w:p>
    <w:p w:rsidR="001811EC" w:rsidRDefault="002121F5">
      <w:pPr>
        <w:pStyle w:val="cpv"/>
        <w:widowControl/>
        <w:spacing w:before="220"/>
        <w:rPr>
          <w:rFonts w:ascii="Arial" w:hAnsi="Arial" w:cs="Arial"/>
          <w:i/>
          <w:color w:val="0070C0"/>
          <w:sz w:val="22"/>
          <w:szCs w:val="22"/>
        </w:rPr>
      </w:pPr>
      <w:r>
        <w:rPr>
          <w:rFonts w:ascii="Arial" w:hAnsi="Arial" w:cs="Arial"/>
          <w:i/>
          <w:color w:val="0070C0"/>
          <w:sz w:val="22"/>
          <w:szCs w:val="22"/>
        </w:rPr>
        <w:t xml:space="preserve">Per gli anni 2017-2019 nelle entrate e spese finali in termini di competenza è considerato il fondo pluriennale vincolato di entrata e di spesa, al netto della quota rinveniente dall’indebitamento. Non rileva la quota di fondo pluriennale vincolato di entrata che finanzia gli impegni cancellati definitivamente dopo l’approvazione del rendiconto dell’anno precedente. </w:t>
      </w:r>
    </w:p>
    <w:p w:rsidR="001811EC" w:rsidRDefault="002121F5">
      <w:pPr>
        <w:pStyle w:val="cpv"/>
        <w:widowControl/>
        <w:spacing w:before="220"/>
        <w:rPr>
          <w:rFonts w:ascii="Arial" w:hAnsi="Arial" w:cs="Arial"/>
          <w:i/>
          <w:color w:val="0070C0"/>
          <w:sz w:val="22"/>
          <w:szCs w:val="22"/>
        </w:rPr>
      </w:pPr>
      <w:r>
        <w:rPr>
          <w:rFonts w:ascii="Arial" w:hAnsi="Arial" w:cs="Arial"/>
          <w:i/>
          <w:color w:val="0070C0"/>
          <w:sz w:val="22"/>
          <w:szCs w:val="22"/>
        </w:rPr>
        <w:t xml:space="preserve">Lo schema di parere che viene presentato è predisposto nel rispetto della parte II “Ordinamento finanziario e contabile del </w:t>
      </w:r>
      <w:hyperlink r:id="rId14" w:history="1">
        <w:r>
          <w:rPr>
            <w:rStyle w:val="Collegamentoipertestuale"/>
            <w:rFonts w:ascii="Arial" w:hAnsi="Arial" w:cs="Arial"/>
            <w:i/>
            <w:sz w:val="22"/>
            <w:szCs w:val="22"/>
          </w:rPr>
          <w:t>D.Lgs.18/8/2000 n.267</w:t>
        </w:r>
      </w:hyperlink>
      <w:r>
        <w:rPr>
          <w:rFonts w:ascii="Arial" w:hAnsi="Arial" w:cs="Arial"/>
          <w:i/>
          <w:color w:val="0070C0"/>
          <w:sz w:val="22"/>
          <w:szCs w:val="22"/>
        </w:rPr>
        <w:t xml:space="preserve"> (TUEL), dei principi contabili generali e del </w:t>
      </w:r>
      <w:hyperlink r:id="rId15" w:history="1">
        <w:r>
          <w:rPr>
            <w:rStyle w:val="Collegamentoipertestuale"/>
            <w:rFonts w:ascii="Arial" w:hAnsi="Arial" w:cs="Arial"/>
            <w:i/>
            <w:sz w:val="22"/>
            <w:szCs w:val="22"/>
          </w:rPr>
          <w:t>principio contabile applicato 4/2</w:t>
        </w:r>
      </w:hyperlink>
      <w:r>
        <w:rPr>
          <w:rFonts w:ascii="Arial" w:hAnsi="Arial" w:cs="Arial"/>
          <w:i/>
          <w:color w:val="0070C0"/>
          <w:sz w:val="22"/>
          <w:szCs w:val="22"/>
        </w:rPr>
        <w:t xml:space="preserve">, allegati al </w:t>
      </w:r>
      <w:hyperlink r:id="rId16" w:history="1">
        <w:proofErr w:type="spellStart"/>
        <w:r>
          <w:rPr>
            <w:rStyle w:val="Collegamentoipertestuale"/>
            <w:rFonts w:ascii="Arial" w:hAnsi="Arial" w:cs="Arial"/>
            <w:i/>
            <w:sz w:val="22"/>
            <w:szCs w:val="22"/>
          </w:rPr>
          <w:t>D.Lgs.</w:t>
        </w:r>
        <w:proofErr w:type="spellEnd"/>
        <w:r>
          <w:rPr>
            <w:rStyle w:val="Collegamentoipertestuale"/>
            <w:rFonts w:ascii="Arial" w:hAnsi="Arial" w:cs="Arial"/>
            <w:i/>
            <w:sz w:val="22"/>
            <w:szCs w:val="22"/>
          </w:rPr>
          <w:t xml:space="preserve"> 118/2011</w:t>
        </w:r>
      </w:hyperlink>
      <w:r>
        <w:rPr>
          <w:rFonts w:ascii="Arial" w:hAnsi="Arial" w:cs="Arial"/>
          <w:i/>
          <w:color w:val="0070C0"/>
          <w:sz w:val="22"/>
          <w:szCs w:val="22"/>
        </w:rPr>
        <w:t>.</w:t>
      </w:r>
    </w:p>
    <w:p w:rsidR="001811EC" w:rsidRDefault="002121F5">
      <w:pPr>
        <w:pStyle w:val="cpv"/>
        <w:widowControl/>
        <w:spacing w:before="220"/>
        <w:rPr>
          <w:rFonts w:ascii="Arial" w:hAnsi="Arial" w:cs="Arial"/>
          <w:i/>
          <w:color w:val="0070C0"/>
          <w:sz w:val="22"/>
          <w:szCs w:val="22"/>
        </w:rPr>
      </w:pPr>
      <w:r>
        <w:rPr>
          <w:rFonts w:ascii="Arial" w:hAnsi="Arial" w:cs="Arial"/>
          <w:i/>
          <w:color w:val="0070C0"/>
          <w:sz w:val="22"/>
          <w:szCs w:val="22"/>
        </w:rPr>
        <w:t xml:space="preserve">Per la formulazione del parere e per l’esercizio delle sue funzioni l’organo di revisione può avvalersi dei primi </w:t>
      </w:r>
      <w:hyperlink r:id="rId17" w:history="1">
        <w:r>
          <w:rPr>
            <w:rStyle w:val="Collegamentoipertestuale"/>
            <w:rFonts w:ascii="Arial" w:hAnsi="Arial" w:cs="Arial"/>
            <w:i/>
            <w:sz w:val="22"/>
            <w:szCs w:val="22"/>
          </w:rPr>
          <w:t>tre principi di vigilanza e controllo emanati dal CNDCEC</w:t>
        </w:r>
      </w:hyperlink>
      <w:r>
        <w:rPr>
          <w:rFonts w:ascii="Arial" w:hAnsi="Arial" w:cs="Arial"/>
          <w:i/>
          <w:color w:val="0070C0"/>
          <w:sz w:val="22"/>
          <w:szCs w:val="22"/>
        </w:rPr>
        <w:t>.</w:t>
      </w:r>
    </w:p>
    <w:p w:rsidR="001811EC" w:rsidRDefault="002121F5">
      <w:pPr>
        <w:pStyle w:val="cpv"/>
        <w:widowControl/>
        <w:spacing w:before="220"/>
        <w:rPr>
          <w:rFonts w:ascii="Arial" w:hAnsi="Arial" w:cs="Arial"/>
          <w:i/>
          <w:color w:val="0070C0"/>
          <w:sz w:val="22"/>
          <w:szCs w:val="22"/>
        </w:rPr>
      </w:pPr>
      <w:r>
        <w:rPr>
          <w:rFonts w:ascii="Arial" w:hAnsi="Arial" w:cs="Arial"/>
          <w:i/>
          <w:color w:val="0070C0"/>
          <w:sz w:val="22"/>
          <w:szCs w:val="22"/>
        </w:rPr>
        <w:t>Per il riferimento all’anno precedente sono indicate le previsioni definitive 2016 e nel caso di formulazione dopo la deliberazione del rendiconto 2016, il riferimento deve essere sostituito “rendiconto 2016”.</w:t>
      </w:r>
    </w:p>
    <w:p w:rsidR="00E755A1" w:rsidRDefault="00E755A1">
      <w:pPr>
        <w:pStyle w:val="cpv"/>
        <w:widowControl/>
        <w:spacing w:before="220"/>
        <w:rPr>
          <w:rFonts w:ascii="Arial" w:hAnsi="Arial" w:cs="Arial"/>
          <w:i/>
          <w:color w:val="0070C0"/>
          <w:sz w:val="22"/>
          <w:szCs w:val="22"/>
        </w:rPr>
      </w:pPr>
      <w:r w:rsidRPr="00A608DA">
        <w:rPr>
          <w:rFonts w:ascii="Arial" w:hAnsi="Arial" w:cs="Arial"/>
          <w:i/>
          <w:color w:val="0070C0"/>
          <w:sz w:val="22"/>
          <w:szCs w:val="22"/>
        </w:rPr>
        <w:t>L’</w:t>
      </w:r>
      <w:hyperlink r:id="rId18" w:history="1">
        <w:r w:rsidRPr="00A608DA">
          <w:rPr>
            <w:rStyle w:val="Collegamentoipertestuale"/>
            <w:rFonts w:ascii="Arial" w:hAnsi="Arial" w:cs="Arial"/>
            <w:i/>
            <w:sz w:val="22"/>
            <w:szCs w:val="22"/>
          </w:rPr>
          <w:t xml:space="preserve">art.5 comma 11 del </w:t>
        </w:r>
        <w:proofErr w:type="spellStart"/>
        <w:r w:rsidRPr="00A608DA">
          <w:rPr>
            <w:rStyle w:val="Collegamentoipertestuale"/>
            <w:rFonts w:ascii="Arial" w:hAnsi="Arial" w:cs="Arial"/>
            <w:i/>
            <w:sz w:val="22"/>
            <w:szCs w:val="22"/>
          </w:rPr>
          <w:t>d.l.</w:t>
        </w:r>
        <w:proofErr w:type="spellEnd"/>
        <w:r w:rsidRPr="00A608DA">
          <w:rPr>
            <w:rStyle w:val="Collegamentoipertestuale"/>
            <w:rFonts w:ascii="Arial" w:hAnsi="Arial" w:cs="Arial"/>
            <w:i/>
            <w:sz w:val="22"/>
            <w:szCs w:val="22"/>
          </w:rPr>
          <w:t xml:space="preserve"> 30/12/2016 n.244</w:t>
        </w:r>
      </w:hyperlink>
      <w:r w:rsidRPr="00A608DA">
        <w:rPr>
          <w:rFonts w:ascii="Arial" w:hAnsi="Arial" w:cs="Arial"/>
          <w:i/>
          <w:color w:val="0070C0"/>
          <w:sz w:val="22"/>
          <w:szCs w:val="22"/>
        </w:rPr>
        <w:t>, ha differito al 31/3/2017 il termine per deliberare il bilancio 2017/2019</w:t>
      </w:r>
      <w:r w:rsidR="00274DEB" w:rsidRPr="00A608DA">
        <w:rPr>
          <w:rFonts w:ascii="Arial" w:hAnsi="Arial" w:cs="Arial"/>
          <w:i/>
          <w:color w:val="0070C0"/>
          <w:sz w:val="22"/>
          <w:szCs w:val="22"/>
        </w:rPr>
        <w:t>.</w:t>
      </w:r>
    </w:p>
    <w:p w:rsidR="001811EC" w:rsidRDefault="002121F5">
      <w:pPr>
        <w:pStyle w:val="cpv"/>
        <w:widowControl/>
        <w:spacing w:before="220"/>
        <w:rPr>
          <w:rFonts w:ascii="Arial" w:hAnsi="Arial" w:cs="Arial"/>
          <w:i/>
          <w:color w:val="0070C0"/>
          <w:sz w:val="22"/>
          <w:szCs w:val="22"/>
        </w:rPr>
      </w:pPr>
      <w:r>
        <w:rPr>
          <w:rFonts w:ascii="Arial" w:hAnsi="Arial" w:cs="Arial"/>
          <w:i/>
          <w:color w:val="0070C0"/>
          <w:sz w:val="22"/>
          <w:szCs w:val="22"/>
        </w:rPr>
        <w:t>Lo schema tiene conto delle norme emanate fino al 31/12/2016 e verrà aggiornato nel caso di sostanziali modifiche della normativa relativa al bilancio di previsione.</w:t>
      </w:r>
    </w:p>
    <w:p w:rsidR="001811EC" w:rsidRDefault="002121F5">
      <w:pPr>
        <w:rPr>
          <w:rFonts w:ascii="Arial" w:hAnsi="Arial" w:cs="Arial"/>
          <w:b/>
          <w:sz w:val="32"/>
        </w:rPr>
      </w:pPr>
      <w:r>
        <w:rPr>
          <w:rFonts w:ascii="Arial" w:hAnsi="Arial" w:cs="Arial"/>
          <w:i/>
          <w:color w:val="0070C0"/>
          <w:sz w:val="22"/>
          <w:szCs w:val="22"/>
        </w:rPr>
        <w:br w:type="page"/>
      </w:r>
      <w:r>
        <w:rPr>
          <w:rFonts w:ascii="Arial" w:hAnsi="Arial" w:cs="Arial"/>
          <w:b/>
          <w:sz w:val="32"/>
        </w:rPr>
        <w:lastRenderedPageBreak/>
        <w:t>Comune di………..</w:t>
      </w:r>
    </w:p>
    <w:p w:rsidR="001811EC" w:rsidRDefault="002121F5">
      <w:pPr>
        <w:pStyle w:val="cpv"/>
        <w:widowControl/>
        <w:jc w:val="center"/>
        <w:rPr>
          <w:rFonts w:ascii="Arial" w:hAnsi="Arial" w:cs="Arial"/>
          <w:b/>
          <w:sz w:val="32"/>
        </w:rPr>
      </w:pPr>
      <w:r>
        <w:rPr>
          <w:rFonts w:ascii="Arial" w:hAnsi="Arial" w:cs="Arial"/>
          <w:b/>
          <w:sz w:val="32"/>
        </w:rPr>
        <w:t>L’ORGANO DI REVISIONE</w:t>
      </w:r>
    </w:p>
    <w:p w:rsidR="001811EC" w:rsidRDefault="002121F5">
      <w:pPr>
        <w:pStyle w:val="cpv"/>
        <w:widowControl/>
        <w:jc w:val="center"/>
        <w:rPr>
          <w:rFonts w:ascii="Arial" w:hAnsi="Arial" w:cs="Arial"/>
        </w:rPr>
      </w:pPr>
      <w:r>
        <w:rPr>
          <w:rFonts w:ascii="Arial" w:hAnsi="Arial" w:cs="Arial"/>
          <w:b/>
        </w:rPr>
        <w:t>Verbale n. ….. del ……..</w:t>
      </w:r>
    </w:p>
    <w:p w:rsidR="001811EC" w:rsidRDefault="002121F5">
      <w:pPr>
        <w:pStyle w:val="LIV2"/>
        <w:widowControl/>
        <w:spacing w:after="0"/>
        <w:jc w:val="center"/>
        <w:rPr>
          <w:rFonts w:ascii="Arial" w:hAnsi="Arial" w:cs="Arial"/>
          <w:sz w:val="24"/>
        </w:rPr>
      </w:pPr>
      <w:r>
        <w:rPr>
          <w:rFonts w:ascii="Arial" w:hAnsi="Arial" w:cs="Arial"/>
          <w:sz w:val="24"/>
        </w:rPr>
        <w:t>PARERE SUL BILANCIO DI PREVISIONE 2017-2019</w:t>
      </w:r>
    </w:p>
    <w:p w:rsidR="001811EC" w:rsidRDefault="002121F5">
      <w:pPr>
        <w:pStyle w:val="cpv"/>
        <w:widowControl/>
        <w:tabs>
          <w:tab w:val="left" w:pos="6652"/>
        </w:tabs>
        <w:spacing w:before="260"/>
        <w:rPr>
          <w:rFonts w:ascii="Arial" w:hAnsi="Arial" w:cs="Arial"/>
          <w:sz w:val="24"/>
        </w:rPr>
      </w:pPr>
      <w:r>
        <w:rPr>
          <w:rFonts w:ascii="Arial" w:hAnsi="Arial" w:cs="Arial"/>
          <w:sz w:val="24"/>
        </w:rPr>
        <w:t>Premesso che l'organo di revisione ha:</w:t>
      </w:r>
    </w:p>
    <w:p w:rsidR="001811EC" w:rsidRDefault="002121F5">
      <w:pPr>
        <w:pStyle w:val="sottocpv1"/>
        <w:widowControl/>
        <w:numPr>
          <w:ilvl w:val="0"/>
          <w:numId w:val="10"/>
        </w:numPr>
        <w:rPr>
          <w:rFonts w:ascii="Arial" w:hAnsi="Arial" w:cs="Arial"/>
          <w:sz w:val="24"/>
        </w:rPr>
      </w:pPr>
      <w:r>
        <w:rPr>
          <w:rFonts w:ascii="Arial" w:hAnsi="Arial" w:cs="Arial"/>
          <w:sz w:val="24"/>
        </w:rPr>
        <w:t>esaminato la proposta di bilancio di previsione 2017-2019, unitamente agli allegati di legge;</w:t>
      </w:r>
    </w:p>
    <w:p w:rsidR="001811EC" w:rsidRDefault="002121F5">
      <w:pPr>
        <w:pStyle w:val="sottocpv1"/>
        <w:widowControl/>
        <w:numPr>
          <w:ilvl w:val="0"/>
          <w:numId w:val="10"/>
        </w:numPr>
        <w:rPr>
          <w:rFonts w:ascii="Arial" w:hAnsi="Arial" w:cs="Arial"/>
          <w:sz w:val="24"/>
        </w:rPr>
      </w:pPr>
      <w:r>
        <w:rPr>
          <w:rFonts w:ascii="Arial" w:hAnsi="Arial" w:cs="Arial"/>
          <w:sz w:val="24"/>
        </w:rPr>
        <w:t xml:space="preserve">visto il </w:t>
      </w:r>
      <w:hyperlink r:id="rId19" w:history="1">
        <w:proofErr w:type="spellStart"/>
        <w:r>
          <w:rPr>
            <w:rStyle w:val="Collegamentoipertestuale"/>
            <w:rFonts w:ascii="Arial" w:hAnsi="Arial" w:cs="Arial"/>
            <w:sz w:val="24"/>
          </w:rPr>
          <w:t>D.Lgs.</w:t>
        </w:r>
        <w:proofErr w:type="spellEnd"/>
        <w:r>
          <w:rPr>
            <w:rStyle w:val="Collegamentoipertestuale"/>
            <w:rFonts w:ascii="Arial" w:hAnsi="Arial" w:cs="Arial"/>
            <w:sz w:val="24"/>
          </w:rPr>
          <w:t xml:space="preserve"> 18 agosto 2000, n. 267</w:t>
        </w:r>
      </w:hyperlink>
      <w:r>
        <w:rPr>
          <w:rFonts w:ascii="Arial" w:hAnsi="Arial" w:cs="Arial"/>
          <w:sz w:val="24"/>
        </w:rPr>
        <w:t xml:space="preserve"> «Testo unico delle leggi sull'ordinamento degli enti locali» (</w:t>
      </w:r>
      <w:hyperlink r:id="rId20" w:history="1">
        <w:r>
          <w:rPr>
            <w:rFonts w:ascii="Arial" w:hAnsi="Arial" w:cs="Arial"/>
            <w:sz w:val="24"/>
          </w:rPr>
          <w:t>TUEL</w:t>
        </w:r>
      </w:hyperlink>
      <w:r>
        <w:rPr>
          <w:rFonts w:ascii="Arial" w:hAnsi="Arial" w:cs="Arial"/>
          <w:sz w:val="24"/>
        </w:rPr>
        <w:t>);</w:t>
      </w:r>
    </w:p>
    <w:p w:rsidR="001811EC" w:rsidRDefault="002121F5">
      <w:pPr>
        <w:pStyle w:val="sottocpv1"/>
        <w:widowControl/>
        <w:numPr>
          <w:ilvl w:val="0"/>
          <w:numId w:val="10"/>
        </w:numPr>
        <w:rPr>
          <w:rFonts w:ascii="Arial" w:hAnsi="Arial" w:cs="Arial"/>
          <w:sz w:val="24"/>
        </w:rPr>
      </w:pPr>
      <w:r>
        <w:rPr>
          <w:rFonts w:ascii="Arial" w:hAnsi="Arial" w:cs="Arial"/>
          <w:sz w:val="24"/>
        </w:rPr>
        <w:t xml:space="preserve">visto il </w:t>
      </w:r>
      <w:hyperlink r:id="rId21" w:history="1">
        <w:proofErr w:type="spellStart"/>
        <w:r>
          <w:rPr>
            <w:rStyle w:val="Collegamentoipertestuale"/>
            <w:rFonts w:ascii="Arial" w:hAnsi="Arial" w:cs="Arial"/>
            <w:sz w:val="24"/>
          </w:rPr>
          <w:t>D.Lgs.</w:t>
        </w:r>
        <w:proofErr w:type="spellEnd"/>
        <w:r>
          <w:rPr>
            <w:rStyle w:val="Collegamentoipertestuale"/>
            <w:rFonts w:ascii="Arial" w:hAnsi="Arial" w:cs="Arial"/>
            <w:sz w:val="24"/>
          </w:rPr>
          <w:t xml:space="preserve"> 118/2011</w:t>
        </w:r>
      </w:hyperlink>
      <w:r>
        <w:rPr>
          <w:rFonts w:ascii="Arial" w:hAnsi="Arial" w:cs="Arial"/>
          <w:sz w:val="24"/>
        </w:rPr>
        <w:t xml:space="preserve"> e la versione aggiornata dei principi contabili generali ed applicati pubblicati sul </w:t>
      </w:r>
      <w:hyperlink r:id="rId22" w:history="1">
        <w:r>
          <w:rPr>
            <w:rStyle w:val="Collegamentoipertestuale"/>
            <w:rFonts w:ascii="Arial" w:hAnsi="Arial" w:cs="Arial"/>
            <w:sz w:val="24"/>
          </w:rPr>
          <w:t>sito ARCONET- Armonizzazione contabile enti territoriali</w:t>
        </w:r>
      </w:hyperlink>
      <w:r>
        <w:rPr>
          <w:rFonts w:ascii="Arial" w:hAnsi="Arial" w:cs="Arial"/>
          <w:sz w:val="24"/>
        </w:rPr>
        <w:t>;</w:t>
      </w:r>
    </w:p>
    <w:p w:rsidR="001811EC" w:rsidRDefault="002121F5">
      <w:pPr>
        <w:pStyle w:val="CPVC"/>
        <w:widowControl/>
        <w:spacing w:after="0"/>
        <w:rPr>
          <w:rFonts w:ascii="Arial" w:hAnsi="Arial" w:cs="Arial"/>
          <w:b/>
          <w:sz w:val="32"/>
        </w:rPr>
      </w:pPr>
      <w:r>
        <w:rPr>
          <w:rFonts w:ascii="Arial" w:hAnsi="Arial" w:cs="Arial"/>
          <w:b/>
          <w:sz w:val="32"/>
        </w:rPr>
        <w:t>Presenta</w:t>
      </w:r>
    </w:p>
    <w:p w:rsidR="001811EC" w:rsidRDefault="002121F5">
      <w:pPr>
        <w:pStyle w:val="cpv"/>
        <w:widowControl/>
        <w:spacing w:before="260"/>
        <w:rPr>
          <w:rFonts w:ascii="Arial" w:hAnsi="Arial" w:cs="Arial"/>
          <w:sz w:val="24"/>
        </w:rPr>
      </w:pPr>
      <w:r>
        <w:rPr>
          <w:rFonts w:ascii="Arial" w:hAnsi="Arial" w:cs="Arial"/>
          <w:sz w:val="24"/>
        </w:rPr>
        <w:t>l'allegata relazione quale parere sulla proposta di bilancio di previsione per gli esercizi 2017-2019, del Comune di ……………………………………. che forma parte integrante e sostanziale del presente verbale.</w:t>
      </w:r>
    </w:p>
    <w:p w:rsidR="001811EC" w:rsidRDefault="002121F5">
      <w:pPr>
        <w:pStyle w:val="cpv"/>
        <w:widowControl/>
        <w:spacing w:before="260"/>
        <w:rPr>
          <w:rFonts w:ascii="Arial" w:hAnsi="Arial" w:cs="Arial"/>
          <w:sz w:val="24"/>
        </w:rPr>
      </w:pPr>
      <w:r>
        <w:rPr>
          <w:rFonts w:ascii="Arial" w:hAnsi="Arial" w:cs="Arial"/>
          <w:sz w:val="24"/>
        </w:rPr>
        <w:t xml:space="preserve">lì ……..  </w:t>
      </w:r>
      <w:r>
        <w:rPr>
          <w:rFonts w:ascii="Arial" w:hAnsi="Arial" w:cs="Arial"/>
          <w:sz w:val="24"/>
        </w:rPr>
        <w:tab/>
      </w:r>
      <w:r>
        <w:rPr>
          <w:rFonts w:ascii="Arial" w:hAnsi="Arial" w:cs="Arial"/>
          <w:sz w:val="24"/>
        </w:rPr>
        <w:tab/>
      </w:r>
      <w:r>
        <w:rPr>
          <w:rFonts w:ascii="Arial" w:hAnsi="Arial" w:cs="Arial"/>
          <w:sz w:val="24"/>
        </w:rPr>
        <w:tab/>
      </w:r>
    </w:p>
    <w:p w:rsidR="001811EC" w:rsidRDefault="001811EC">
      <w:pPr>
        <w:pStyle w:val="cpv"/>
        <w:widowControl/>
        <w:spacing w:before="260"/>
        <w:rPr>
          <w:rFonts w:ascii="Arial" w:hAnsi="Arial" w:cs="Arial"/>
          <w:sz w:val="24"/>
        </w:rPr>
      </w:pPr>
    </w:p>
    <w:p w:rsidR="001811EC" w:rsidRDefault="002121F5">
      <w:pPr>
        <w:pStyle w:val="cpv"/>
        <w:widowControl/>
        <w:spacing w:before="260"/>
        <w:rPr>
          <w:rFonts w:ascii="Arial" w:hAnsi="Arial" w:cs="Arial"/>
          <w:sz w:val="24"/>
        </w:rPr>
      </w:pPr>
      <w:r>
        <w:rPr>
          <w:rFonts w:ascii="Arial" w:hAnsi="Arial" w:cs="Arial"/>
          <w:sz w:val="24"/>
        </w:rPr>
        <w:t>L’ORGANO DI REVISIONE</w:t>
      </w:r>
    </w:p>
    <w:p w:rsidR="001811EC" w:rsidRDefault="002121F5">
      <w:pPr>
        <w:tabs>
          <w:tab w:val="left" w:pos="1275"/>
          <w:tab w:val="left" w:pos="1560"/>
          <w:tab w:val="left" w:leader="dot" w:pos="8789"/>
          <w:tab w:val="right" w:pos="9639"/>
        </w:tabs>
        <w:spacing w:line="360" w:lineRule="auto"/>
        <w:rPr>
          <w:rFonts w:ascii="Arial" w:hAnsi="Arial" w:cs="Arial"/>
        </w:rPr>
      </w:pPr>
      <w:r>
        <w:rPr>
          <w:rFonts w:ascii="Arial" w:hAnsi="Arial" w:cs="Arial"/>
        </w:rPr>
        <w:br w:type="page"/>
      </w:r>
    </w:p>
    <w:sdt>
      <w:sdtPr>
        <w:rPr>
          <w:rFonts w:ascii="Arial" w:eastAsia="Times New Roman" w:hAnsi="Arial" w:cs="Arial"/>
          <w:b w:val="0"/>
          <w:bCs w:val="0"/>
          <w:color w:val="auto"/>
          <w:sz w:val="24"/>
          <w:szCs w:val="24"/>
        </w:rPr>
        <w:id w:val="-1319411049"/>
        <w:docPartObj>
          <w:docPartGallery w:val="Table of Contents"/>
          <w:docPartUnique/>
        </w:docPartObj>
      </w:sdtPr>
      <w:sdtEndPr/>
      <w:sdtContent>
        <w:p w:rsidR="001811EC" w:rsidRDefault="002121F5">
          <w:pPr>
            <w:pStyle w:val="Titolosommario"/>
            <w:rPr>
              <w:rFonts w:ascii="Arial" w:hAnsi="Arial" w:cs="Arial"/>
            </w:rPr>
          </w:pPr>
          <w:r>
            <w:rPr>
              <w:rFonts w:ascii="Arial" w:hAnsi="Arial" w:cs="Arial"/>
            </w:rPr>
            <w:t>Sommario</w:t>
          </w:r>
        </w:p>
        <w:p w:rsidR="001811EC" w:rsidRDefault="004D02D0">
          <w:pPr>
            <w:pStyle w:val="Sommario1"/>
            <w:tabs>
              <w:tab w:val="right" w:leader="dot" w:pos="9628"/>
            </w:tabs>
            <w:rPr>
              <w:rFonts w:asciiTheme="minorHAnsi" w:eastAsiaTheme="minorEastAsia" w:hAnsiTheme="minorHAnsi" w:cstheme="minorBidi"/>
              <w:noProof/>
              <w:sz w:val="22"/>
              <w:szCs w:val="22"/>
            </w:rPr>
          </w:pPr>
          <w:r>
            <w:rPr>
              <w:rFonts w:ascii="Arial" w:hAnsi="Arial" w:cs="Arial"/>
            </w:rPr>
            <w:fldChar w:fldCharType="begin"/>
          </w:r>
          <w:r w:rsidR="002121F5">
            <w:rPr>
              <w:rFonts w:ascii="Arial" w:hAnsi="Arial" w:cs="Arial"/>
            </w:rPr>
            <w:instrText xml:space="preserve"> TOC \o "1-3" \h \z \u </w:instrText>
          </w:r>
          <w:r>
            <w:rPr>
              <w:rFonts w:ascii="Arial" w:hAnsi="Arial" w:cs="Arial"/>
            </w:rPr>
            <w:fldChar w:fldCharType="separate"/>
          </w:r>
          <w:hyperlink w:anchor="_Toc469216193" w:history="1">
            <w:r w:rsidR="002121F5">
              <w:rPr>
                <w:rStyle w:val="Collegamentoipertestuale"/>
                <w:bCs/>
                <w:smallCaps/>
                <w:noProof/>
                <w:spacing w:val="5"/>
              </w:rPr>
              <w:t>PREMESSA E VERIFICHE PRELIMINARI</w:t>
            </w:r>
            <w:r w:rsidR="002121F5">
              <w:rPr>
                <w:noProof/>
                <w:webHidden/>
              </w:rPr>
              <w:tab/>
            </w:r>
            <w:r>
              <w:rPr>
                <w:noProof/>
                <w:webHidden/>
              </w:rPr>
              <w:fldChar w:fldCharType="begin"/>
            </w:r>
            <w:r w:rsidR="002121F5">
              <w:rPr>
                <w:noProof/>
                <w:webHidden/>
              </w:rPr>
              <w:instrText xml:space="preserve"> PAGEREF _Toc469216193 \h </w:instrText>
            </w:r>
            <w:r>
              <w:rPr>
                <w:noProof/>
                <w:webHidden/>
              </w:rPr>
            </w:r>
            <w:r>
              <w:rPr>
                <w:noProof/>
                <w:webHidden/>
              </w:rPr>
              <w:fldChar w:fldCharType="separate"/>
            </w:r>
            <w:r w:rsidR="004053CF">
              <w:rPr>
                <w:noProof/>
                <w:webHidden/>
              </w:rPr>
              <w:t>5</w:t>
            </w:r>
            <w:r>
              <w:rPr>
                <w:noProof/>
                <w:webHidden/>
              </w:rPr>
              <w:fldChar w:fldCharType="end"/>
            </w:r>
          </w:hyperlink>
        </w:p>
        <w:p w:rsidR="001811EC" w:rsidRDefault="009716D1">
          <w:pPr>
            <w:pStyle w:val="Sommario1"/>
            <w:tabs>
              <w:tab w:val="right" w:leader="dot" w:pos="9628"/>
            </w:tabs>
            <w:rPr>
              <w:rFonts w:asciiTheme="minorHAnsi" w:eastAsiaTheme="minorEastAsia" w:hAnsiTheme="minorHAnsi" w:cstheme="minorBidi"/>
              <w:noProof/>
              <w:sz w:val="22"/>
              <w:szCs w:val="22"/>
            </w:rPr>
          </w:pPr>
          <w:hyperlink w:anchor="_Toc469216194" w:history="1">
            <w:r w:rsidR="002121F5">
              <w:rPr>
                <w:rStyle w:val="Collegamentoipertestuale"/>
                <w:noProof/>
              </w:rPr>
              <w:t>ACCERTAMENTI PRELIMINARI</w:t>
            </w:r>
            <w:r w:rsidR="002121F5">
              <w:rPr>
                <w:noProof/>
                <w:webHidden/>
              </w:rPr>
              <w:tab/>
            </w:r>
            <w:r w:rsidR="004D02D0">
              <w:rPr>
                <w:noProof/>
                <w:webHidden/>
              </w:rPr>
              <w:fldChar w:fldCharType="begin"/>
            </w:r>
            <w:r w:rsidR="002121F5">
              <w:rPr>
                <w:noProof/>
                <w:webHidden/>
              </w:rPr>
              <w:instrText xml:space="preserve"> PAGEREF _Toc469216194 \h </w:instrText>
            </w:r>
            <w:r w:rsidR="004D02D0">
              <w:rPr>
                <w:noProof/>
                <w:webHidden/>
              </w:rPr>
            </w:r>
            <w:r w:rsidR="004D02D0">
              <w:rPr>
                <w:noProof/>
                <w:webHidden/>
              </w:rPr>
              <w:fldChar w:fldCharType="separate"/>
            </w:r>
            <w:r w:rsidR="004053CF">
              <w:rPr>
                <w:noProof/>
                <w:webHidden/>
              </w:rPr>
              <w:t>7</w:t>
            </w:r>
            <w:r w:rsidR="004D02D0">
              <w:rPr>
                <w:noProof/>
                <w:webHidden/>
              </w:rPr>
              <w:fldChar w:fldCharType="end"/>
            </w:r>
          </w:hyperlink>
        </w:p>
        <w:p w:rsidR="001811EC" w:rsidRDefault="009716D1">
          <w:pPr>
            <w:pStyle w:val="Sommario1"/>
            <w:tabs>
              <w:tab w:val="right" w:leader="dot" w:pos="9628"/>
            </w:tabs>
            <w:rPr>
              <w:rFonts w:asciiTheme="minorHAnsi" w:eastAsiaTheme="minorEastAsia" w:hAnsiTheme="minorHAnsi" w:cstheme="minorBidi"/>
              <w:noProof/>
              <w:sz w:val="22"/>
              <w:szCs w:val="22"/>
            </w:rPr>
          </w:pPr>
          <w:hyperlink w:anchor="_Toc469216195" w:history="1">
            <w:r w:rsidR="002121F5">
              <w:rPr>
                <w:rStyle w:val="Collegamentoipertestuale"/>
                <w:noProof/>
              </w:rPr>
              <w:t>VERIFICHE DEGLI EQUILIBRI</w:t>
            </w:r>
            <w:r w:rsidR="002121F5">
              <w:rPr>
                <w:noProof/>
                <w:webHidden/>
              </w:rPr>
              <w:tab/>
            </w:r>
            <w:r w:rsidR="004D02D0">
              <w:rPr>
                <w:noProof/>
                <w:webHidden/>
              </w:rPr>
              <w:fldChar w:fldCharType="begin"/>
            </w:r>
            <w:r w:rsidR="002121F5">
              <w:rPr>
                <w:noProof/>
                <w:webHidden/>
              </w:rPr>
              <w:instrText xml:space="preserve"> PAGEREF _Toc469216195 \h </w:instrText>
            </w:r>
            <w:r w:rsidR="004D02D0">
              <w:rPr>
                <w:noProof/>
                <w:webHidden/>
              </w:rPr>
            </w:r>
            <w:r w:rsidR="004D02D0">
              <w:rPr>
                <w:noProof/>
                <w:webHidden/>
              </w:rPr>
              <w:fldChar w:fldCharType="separate"/>
            </w:r>
            <w:r w:rsidR="004053CF">
              <w:rPr>
                <w:noProof/>
                <w:webHidden/>
              </w:rPr>
              <w:t>8</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196" w:history="1">
            <w:r w:rsidR="002121F5">
              <w:rPr>
                <w:rStyle w:val="Collegamentoipertestuale"/>
                <w:noProof/>
              </w:rPr>
              <w:t>GESTIONE DELL’ESERCIZIO 2016</w:t>
            </w:r>
            <w:r w:rsidR="002121F5">
              <w:rPr>
                <w:noProof/>
                <w:webHidden/>
              </w:rPr>
              <w:tab/>
            </w:r>
            <w:r w:rsidR="004D02D0">
              <w:rPr>
                <w:noProof/>
                <w:webHidden/>
              </w:rPr>
              <w:fldChar w:fldCharType="begin"/>
            </w:r>
            <w:r w:rsidR="002121F5">
              <w:rPr>
                <w:noProof/>
                <w:webHidden/>
              </w:rPr>
              <w:instrText xml:space="preserve"> PAGEREF _Toc469216196 \h </w:instrText>
            </w:r>
            <w:r w:rsidR="004D02D0">
              <w:rPr>
                <w:noProof/>
                <w:webHidden/>
              </w:rPr>
            </w:r>
            <w:r w:rsidR="004D02D0">
              <w:rPr>
                <w:noProof/>
                <w:webHidden/>
              </w:rPr>
              <w:fldChar w:fldCharType="separate"/>
            </w:r>
            <w:r w:rsidR="004053CF">
              <w:rPr>
                <w:noProof/>
                <w:webHidden/>
              </w:rPr>
              <w:t>8</w:t>
            </w:r>
            <w:r w:rsidR="004D02D0">
              <w:rPr>
                <w:noProof/>
                <w:webHidden/>
              </w:rPr>
              <w:fldChar w:fldCharType="end"/>
            </w:r>
          </w:hyperlink>
        </w:p>
        <w:p w:rsidR="001811EC" w:rsidRDefault="009716D1">
          <w:pPr>
            <w:pStyle w:val="Sommario1"/>
            <w:tabs>
              <w:tab w:val="right" w:leader="dot" w:pos="9628"/>
            </w:tabs>
            <w:rPr>
              <w:rFonts w:asciiTheme="minorHAnsi" w:eastAsiaTheme="minorEastAsia" w:hAnsiTheme="minorHAnsi" w:cstheme="minorBidi"/>
              <w:noProof/>
              <w:sz w:val="22"/>
              <w:szCs w:val="22"/>
            </w:rPr>
          </w:pPr>
          <w:hyperlink w:anchor="_Toc469216197" w:history="1">
            <w:r w:rsidR="002121F5">
              <w:rPr>
                <w:rStyle w:val="Collegamentoipertestuale"/>
                <w:noProof/>
              </w:rPr>
              <w:t>BILANCIO DI PREVISIONE 2017-2019</w:t>
            </w:r>
            <w:r w:rsidR="002121F5">
              <w:rPr>
                <w:noProof/>
                <w:webHidden/>
              </w:rPr>
              <w:tab/>
            </w:r>
            <w:r w:rsidR="004D02D0">
              <w:rPr>
                <w:noProof/>
                <w:webHidden/>
              </w:rPr>
              <w:fldChar w:fldCharType="begin"/>
            </w:r>
            <w:r w:rsidR="002121F5">
              <w:rPr>
                <w:noProof/>
                <w:webHidden/>
              </w:rPr>
              <w:instrText xml:space="preserve"> PAGEREF _Toc469216197 \h </w:instrText>
            </w:r>
            <w:r w:rsidR="004D02D0">
              <w:rPr>
                <w:noProof/>
                <w:webHidden/>
              </w:rPr>
            </w:r>
            <w:r w:rsidR="004D02D0">
              <w:rPr>
                <w:noProof/>
                <w:webHidden/>
              </w:rPr>
              <w:fldChar w:fldCharType="separate"/>
            </w:r>
            <w:r w:rsidR="004053CF">
              <w:rPr>
                <w:noProof/>
                <w:webHidden/>
              </w:rPr>
              <w:t>10</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198" w:history="1">
            <w:r w:rsidR="002121F5">
              <w:rPr>
                <w:rStyle w:val="Collegamentoipertestuale"/>
                <w:noProof/>
              </w:rPr>
              <w:t>1. Riepilogo generale entrate e spese per titoli</w:t>
            </w:r>
            <w:r w:rsidR="002121F5">
              <w:rPr>
                <w:noProof/>
                <w:webHidden/>
              </w:rPr>
              <w:tab/>
            </w:r>
            <w:r w:rsidR="004D02D0">
              <w:rPr>
                <w:noProof/>
                <w:webHidden/>
              </w:rPr>
              <w:fldChar w:fldCharType="begin"/>
            </w:r>
            <w:r w:rsidR="002121F5">
              <w:rPr>
                <w:noProof/>
                <w:webHidden/>
              </w:rPr>
              <w:instrText xml:space="preserve"> PAGEREF _Toc469216198 \h </w:instrText>
            </w:r>
            <w:r w:rsidR="004D02D0">
              <w:rPr>
                <w:noProof/>
                <w:webHidden/>
              </w:rPr>
            </w:r>
            <w:r w:rsidR="004D02D0">
              <w:rPr>
                <w:noProof/>
                <w:webHidden/>
              </w:rPr>
              <w:fldChar w:fldCharType="separate"/>
            </w:r>
            <w:r w:rsidR="004053CF">
              <w:rPr>
                <w:noProof/>
                <w:webHidden/>
              </w:rPr>
              <w:t>10</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199" w:history="1">
            <w:r w:rsidR="002121F5">
              <w:rPr>
                <w:rStyle w:val="Collegamentoipertestuale"/>
                <w:noProof/>
              </w:rPr>
              <w:t>2. Previsioni di cassa</w:t>
            </w:r>
            <w:r w:rsidR="002121F5">
              <w:rPr>
                <w:noProof/>
                <w:webHidden/>
              </w:rPr>
              <w:tab/>
            </w:r>
            <w:r w:rsidR="004D02D0">
              <w:rPr>
                <w:noProof/>
                <w:webHidden/>
              </w:rPr>
              <w:fldChar w:fldCharType="begin"/>
            </w:r>
            <w:r w:rsidR="002121F5">
              <w:rPr>
                <w:noProof/>
                <w:webHidden/>
              </w:rPr>
              <w:instrText xml:space="preserve"> PAGEREF _Toc469216199 \h </w:instrText>
            </w:r>
            <w:r w:rsidR="004D02D0">
              <w:rPr>
                <w:noProof/>
                <w:webHidden/>
              </w:rPr>
            </w:r>
            <w:r w:rsidR="004D02D0">
              <w:rPr>
                <w:noProof/>
                <w:webHidden/>
              </w:rPr>
              <w:fldChar w:fldCharType="separate"/>
            </w:r>
            <w:r w:rsidR="004053CF">
              <w:rPr>
                <w:noProof/>
                <w:webHidden/>
              </w:rPr>
              <w:t>13</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200" w:history="1">
            <w:r w:rsidR="002121F5">
              <w:rPr>
                <w:rStyle w:val="Collegamentoipertestuale"/>
                <w:noProof/>
              </w:rPr>
              <w:t>3. Verifica equilibrio corrente anni 2017-2019</w:t>
            </w:r>
            <w:r w:rsidR="002121F5">
              <w:rPr>
                <w:noProof/>
                <w:webHidden/>
              </w:rPr>
              <w:tab/>
            </w:r>
            <w:r w:rsidR="004D02D0">
              <w:rPr>
                <w:noProof/>
                <w:webHidden/>
              </w:rPr>
              <w:fldChar w:fldCharType="begin"/>
            </w:r>
            <w:r w:rsidR="002121F5">
              <w:rPr>
                <w:noProof/>
                <w:webHidden/>
              </w:rPr>
              <w:instrText xml:space="preserve"> PAGEREF _Toc469216200 \h </w:instrText>
            </w:r>
            <w:r w:rsidR="004D02D0">
              <w:rPr>
                <w:noProof/>
                <w:webHidden/>
              </w:rPr>
            </w:r>
            <w:r w:rsidR="004D02D0">
              <w:rPr>
                <w:noProof/>
                <w:webHidden/>
              </w:rPr>
              <w:fldChar w:fldCharType="separate"/>
            </w:r>
            <w:r w:rsidR="004053CF">
              <w:rPr>
                <w:noProof/>
                <w:webHidden/>
              </w:rPr>
              <w:t>15</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201" w:history="1">
            <w:r w:rsidR="002121F5">
              <w:rPr>
                <w:rStyle w:val="Collegamentoipertestuale"/>
                <w:noProof/>
              </w:rPr>
              <w:t>4. Entrate e spese di carattere non ripetitivo</w:t>
            </w:r>
            <w:r w:rsidR="002121F5">
              <w:rPr>
                <w:noProof/>
                <w:webHidden/>
              </w:rPr>
              <w:tab/>
            </w:r>
            <w:r w:rsidR="004D02D0">
              <w:rPr>
                <w:noProof/>
                <w:webHidden/>
              </w:rPr>
              <w:fldChar w:fldCharType="begin"/>
            </w:r>
            <w:r w:rsidR="002121F5">
              <w:rPr>
                <w:noProof/>
                <w:webHidden/>
              </w:rPr>
              <w:instrText xml:space="preserve"> PAGEREF _Toc469216201 \h </w:instrText>
            </w:r>
            <w:r w:rsidR="004D02D0">
              <w:rPr>
                <w:noProof/>
                <w:webHidden/>
              </w:rPr>
            </w:r>
            <w:r w:rsidR="004D02D0">
              <w:rPr>
                <w:noProof/>
                <w:webHidden/>
              </w:rPr>
              <w:fldChar w:fldCharType="separate"/>
            </w:r>
            <w:r w:rsidR="004053CF">
              <w:rPr>
                <w:noProof/>
                <w:webHidden/>
              </w:rPr>
              <w:t>16</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202" w:history="1">
            <w:r w:rsidR="002121F5">
              <w:rPr>
                <w:rStyle w:val="Collegamentoipertestuale"/>
                <w:noProof/>
              </w:rPr>
              <w:t>5. Verifica rispetto pareggio bilancio</w:t>
            </w:r>
            <w:r w:rsidR="002121F5">
              <w:rPr>
                <w:noProof/>
                <w:webHidden/>
              </w:rPr>
              <w:tab/>
            </w:r>
            <w:r w:rsidR="004D02D0">
              <w:rPr>
                <w:noProof/>
                <w:webHidden/>
              </w:rPr>
              <w:fldChar w:fldCharType="begin"/>
            </w:r>
            <w:r w:rsidR="002121F5">
              <w:rPr>
                <w:noProof/>
                <w:webHidden/>
              </w:rPr>
              <w:instrText xml:space="preserve"> PAGEREF _Toc469216202 \h </w:instrText>
            </w:r>
            <w:r w:rsidR="004D02D0">
              <w:rPr>
                <w:noProof/>
                <w:webHidden/>
              </w:rPr>
            </w:r>
            <w:r w:rsidR="004D02D0">
              <w:rPr>
                <w:noProof/>
                <w:webHidden/>
              </w:rPr>
              <w:fldChar w:fldCharType="separate"/>
            </w:r>
            <w:r w:rsidR="004053CF">
              <w:rPr>
                <w:noProof/>
                <w:webHidden/>
              </w:rPr>
              <w:t>17</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203" w:history="1">
            <w:r w:rsidR="002121F5">
              <w:rPr>
                <w:rStyle w:val="Collegamentoipertestuale"/>
                <w:noProof/>
              </w:rPr>
              <w:t>6. La nota integrativa</w:t>
            </w:r>
            <w:r w:rsidR="002121F5">
              <w:rPr>
                <w:noProof/>
                <w:webHidden/>
              </w:rPr>
              <w:tab/>
            </w:r>
            <w:r w:rsidR="004D02D0">
              <w:rPr>
                <w:noProof/>
                <w:webHidden/>
              </w:rPr>
              <w:fldChar w:fldCharType="begin"/>
            </w:r>
            <w:r w:rsidR="002121F5">
              <w:rPr>
                <w:noProof/>
                <w:webHidden/>
              </w:rPr>
              <w:instrText xml:space="preserve"> PAGEREF _Toc469216203 \h </w:instrText>
            </w:r>
            <w:r w:rsidR="004D02D0">
              <w:rPr>
                <w:noProof/>
                <w:webHidden/>
              </w:rPr>
            </w:r>
            <w:r w:rsidR="004D02D0">
              <w:rPr>
                <w:noProof/>
                <w:webHidden/>
              </w:rPr>
              <w:fldChar w:fldCharType="separate"/>
            </w:r>
            <w:r w:rsidR="004053CF">
              <w:rPr>
                <w:noProof/>
                <w:webHidden/>
              </w:rPr>
              <w:t>18</w:t>
            </w:r>
            <w:r w:rsidR="004D02D0">
              <w:rPr>
                <w:noProof/>
                <w:webHidden/>
              </w:rPr>
              <w:fldChar w:fldCharType="end"/>
            </w:r>
          </w:hyperlink>
        </w:p>
        <w:p w:rsidR="001811EC" w:rsidRDefault="009716D1">
          <w:pPr>
            <w:pStyle w:val="Sommario1"/>
            <w:tabs>
              <w:tab w:val="right" w:leader="dot" w:pos="9628"/>
            </w:tabs>
            <w:rPr>
              <w:rFonts w:asciiTheme="minorHAnsi" w:eastAsiaTheme="minorEastAsia" w:hAnsiTheme="minorHAnsi" w:cstheme="minorBidi"/>
              <w:noProof/>
              <w:sz w:val="22"/>
              <w:szCs w:val="22"/>
            </w:rPr>
          </w:pPr>
          <w:hyperlink w:anchor="_Toc469216204" w:history="1">
            <w:r w:rsidR="002121F5">
              <w:rPr>
                <w:rStyle w:val="Collegamentoipertestuale"/>
                <w:noProof/>
              </w:rPr>
              <w:t>VERIFICA COERENZA DELLE PREVISIONI</w:t>
            </w:r>
            <w:r w:rsidR="002121F5">
              <w:rPr>
                <w:noProof/>
                <w:webHidden/>
              </w:rPr>
              <w:tab/>
            </w:r>
            <w:r w:rsidR="004D02D0">
              <w:rPr>
                <w:noProof/>
                <w:webHidden/>
              </w:rPr>
              <w:fldChar w:fldCharType="begin"/>
            </w:r>
            <w:r w:rsidR="002121F5">
              <w:rPr>
                <w:noProof/>
                <w:webHidden/>
              </w:rPr>
              <w:instrText xml:space="preserve"> PAGEREF _Toc469216204 \h </w:instrText>
            </w:r>
            <w:r w:rsidR="004D02D0">
              <w:rPr>
                <w:noProof/>
                <w:webHidden/>
              </w:rPr>
            </w:r>
            <w:r w:rsidR="004D02D0">
              <w:rPr>
                <w:noProof/>
                <w:webHidden/>
              </w:rPr>
              <w:fldChar w:fldCharType="separate"/>
            </w:r>
            <w:r w:rsidR="004053CF">
              <w:rPr>
                <w:noProof/>
                <w:webHidden/>
              </w:rPr>
              <w:t>19</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205" w:history="1">
            <w:r w:rsidR="002121F5">
              <w:rPr>
                <w:rStyle w:val="Collegamentoipertestuale"/>
                <w:noProof/>
              </w:rPr>
              <w:t>7. Verifica della coerenza interna</w:t>
            </w:r>
            <w:r w:rsidR="002121F5">
              <w:rPr>
                <w:noProof/>
                <w:webHidden/>
              </w:rPr>
              <w:tab/>
            </w:r>
            <w:r w:rsidR="004D02D0">
              <w:rPr>
                <w:noProof/>
                <w:webHidden/>
              </w:rPr>
              <w:fldChar w:fldCharType="begin"/>
            </w:r>
            <w:r w:rsidR="002121F5">
              <w:rPr>
                <w:noProof/>
                <w:webHidden/>
              </w:rPr>
              <w:instrText xml:space="preserve"> PAGEREF _Toc469216205 \h </w:instrText>
            </w:r>
            <w:r w:rsidR="004D02D0">
              <w:rPr>
                <w:noProof/>
                <w:webHidden/>
              </w:rPr>
            </w:r>
            <w:r w:rsidR="004D02D0">
              <w:rPr>
                <w:noProof/>
                <w:webHidden/>
              </w:rPr>
              <w:fldChar w:fldCharType="separate"/>
            </w:r>
            <w:r w:rsidR="004053CF">
              <w:rPr>
                <w:noProof/>
                <w:webHidden/>
              </w:rPr>
              <w:t>19</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206" w:history="1">
            <w:r w:rsidR="002121F5">
              <w:rPr>
                <w:rStyle w:val="Collegamentoipertestuale"/>
                <w:noProof/>
              </w:rPr>
              <w:t>8.  Verifica della coerenza esterna</w:t>
            </w:r>
            <w:r w:rsidR="002121F5">
              <w:rPr>
                <w:noProof/>
                <w:webHidden/>
              </w:rPr>
              <w:tab/>
            </w:r>
            <w:r w:rsidR="004D02D0">
              <w:rPr>
                <w:noProof/>
                <w:webHidden/>
              </w:rPr>
              <w:fldChar w:fldCharType="begin"/>
            </w:r>
            <w:r w:rsidR="002121F5">
              <w:rPr>
                <w:noProof/>
                <w:webHidden/>
              </w:rPr>
              <w:instrText xml:space="preserve"> PAGEREF _Toc469216206 \h </w:instrText>
            </w:r>
            <w:r w:rsidR="004D02D0">
              <w:rPr>
                <w:noProof/>
                <w:webHidden/>
              </w:rPr>
            </w:r>
            <w:r w:rsidR="004D02D0">
              <w:rPr>
                <w:noProof/>
                <w:webHidden/>
              </w:rPr>
              <w:fldChar w:fldCharType="separate"/>
            </w:r>
            <w:r w:rsidR="004053CF">
              <w:rPr>
                <w:noProof/>
                <w:webHidden/>
              </w:rPr>
              <w:t>21</w:t>
            </w:r>
            <w:r w:rsidR="004D02D0">
              <w:rPr>
                <w:noProof/>
                <w:webHidden/>
              </w:rPr>
              <w:fldChar w:fldCharType="end"/>
            </w:r>
          </w:hyperlink>
        </w:p>
        <w:p w:rsidR="001811EC" w:rsidRDefault="009716D1">
          <w:pPr>
            <w:pStyle w:val="Sommario1"/>
            <w:tabs>
              <w:tab w:val="right" w:leader="dot" w:pos="9628"/>
            </w:tabs>
            <w:rPr>
              <w:rFonts w:asciiTheme="minorHAnsi" w:eastAsiaTheme="minorEastAsia" w:hAnsiTheme="minorHAnsi" w:cstheme="minorBidi"/>
              <w:noProof/>
              <w:sz w:val="22"/>
              <w:szCs w:val="22"/>
            </w:rPr>
          </w:pPr>
          <w:hyperlink w:anchor="_Toc469216207" w:history="1">
            <w:r w:rsidR="002121F5">
              <w:rPr>
                <w:rStyle w:val="Collegamentoipertestuale"/>
                <w:noProof/>
              </w:rPr>
              <w:t>VERIFICA ATTENDIBILITA’ E CONGRUITA’ DELLE PREVISIONI ANNO 2017-2019</w:t>
            </w:r>
            <w:r w:rsidR="002121F5">
              <w:rPr>
                <w:noProof/>
                <w:webHidden/>
              </w:rPr>
              <w:tab/>
            </w:r>
            <w:r w:rsidR="004D02D0">
              <w:rPr>
                <w:noProof/>
                <w:webHidden/>
              </w:rPr>
              <w:fldChar w:fldCharType="begin"/>
            </w:r>
            <w:r w:rsidR="002121F5">
              <w:rPr>
                <w:noProof/>
                <w:webHidden/>
              </w:rPr>
              <w:instrText xml:space="preserve"> PAGEREF _Toc469216207 \h </w:instrText>
            </w:r>
            <w:r w:rsidR="004D02D0">
              <w:rPr>
                <w:noProof/>
                <w:webHidden/>
              </w:rPr>
            </w:r>
            <w:r w:rsidR="004D02D0">
              <w:rPr>
                <w:noProof/>
                <w:webHidden/>
              </w:rPr>
              <w:fldChar w:fldCharType="separate"/>
            </w:r>
            <w:r w:rsidR="004053CF">
              <w:rPr>
                <w:noProof/>
                <w:webHidden/>
              </w:rPr>
              <w:t>24</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208" w:history="1">
            <w:r w:rsidR="002121F5">
              <w:rPr>
                <w:rStyle w:val="Collegamentoipertestuale"/>
                <w:noProof/>
              </w:rPr>
              <w:t>A) ENTRATE</w:t>
            </w:r>
            <w:r w:rsidR="002121F5">
              <w:rPr>
                <w:noProof/>
                <w:webHidden/>
              </w:rPr>
              <w:tab/>
            </w:r>
            <w:r w:rsidR="004D02D0">
              <w:rPr>
                <w:noProof/>
                <w:webHidden/>
              </w:rPr>
              <w:fldChar w:fldCharType="begin"/>
            </w:r>
            <w:r w:rsidR="002121F5">
              <w:rPr>
                <w:noProof/>
                <w:webHidden/>
              </w:rPr>
              <w:instrText xml:space="preserve"> PAGEREF _Toc469216208 \h </w:instrText>
            </w:r>
            <w:r w:rsidR="004D02D0">
              <w:rPr>
                <w:noProof/>
                <w:webHidden/>
              </w:rPr>
            </w:r>
            <w:r w:rsidR="004D02D0">
              <w:rPr>
                <w:noProof/>
                <w:webHidden/>
              </w:rPr>
              <w:fldChar w:fldCharType="separate"/>
            </w:r>
            <w:r w:rsidR="004053CF">
              <w:rPr>
                <w:noProof/>
                <w:webHidden/>
              </w:rPr>
              <w:t>24</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209" w:history="1">
            <w:r w:rsidR="002121F5">
              <w:rPr>
                <w:rStyle w:val="Collegamentoipertestuale"/>
                <w:noProof/>
              </w:rPr>
              <w:t>B) SPESE</w:t>
            </w:r>
            <w:r w:rsidR="002121F5">
              <w:rPr>
                <w:noProof/>
                <w:webHidden/>
              </w:rPr>
              <w:tab/>
            </w:r>
            <w:r w:rsidR="004D02D0">
              <w:rPr>
                <w:noProof/>
                <w:webHidden/>
              </w:rPr>
              <w:fldChar w:fldCharType="begin"/>
            </w:r>
            <w:r w:rsidR="002121F5">
              <w:rPr>
                <w:noProof/>
                <w:webHidden/>
              </w:rPr>
              <w:instrText xml:space="preserve"> PAGEREF _Toc469216209 \h </w:instrText>
            </w:r>
            <w:r w:rsidR="004D02D0">
              <w:rPr>
                <w:noProof/>
                <w:webHidden/>
              </w:rPr>
            </w:r>
            <w:r w:rsidR="004D02D0">
              <w:rPr>
                <w:noProof/>
                <w:webHidden/>
              </w:rPr>
              <w:fldChar w:fldCharType="separate"/>
            </w:r>
            <w:r w:rsidR="004053CF">
              <w:rPr>
                <w:noProof/>
                <w:webHidden/>
              </w:rPr>
              <w:t>27</w:t>
            </w:r>
            <w:r w:rsidR="004D02D0">
              <w:rPr>
                <w:noProof/>
                <w:webHidden/>
              </w:rPr>
              <w:fldChar w:fldCharType="end"/>
            </w:r>
          </w:hyperlink>
        </w:p>
        <w:p w:rsidR="001811EC" w:rsidRDefault="009716D1">
          <w:pPr>
            <w:pStyle w:val="Sommario2"/>
            <w:tabs>
              <w:tab w:val="right" w:leader="dot" w:pos="9628"/>
            </w:tabs>
            <w:rPr>
              <w:rFonts w:asciiTheme="minorHAnsi" w:eastAsiaTheme="minorEastAsia" w:hAnsiTheme="minorHAnsi" w:cstheme="minorBidi"/>
              <w:noProof/>
              <w:sz w:val="22"/>
              <w:szCs w:val="22"/>
            </w:rPr>
          </w:pPr>
          <w:hyperlink w:anchor="_Toc469216210" w:history="1">
            <w:r w:rsidR="002121F5">
              <w:rPr>
                <w:rStyle w:val="Collegamentoipertestuale"/>
                <w:noProof/>
              </w:rPr>
              <w:t>C) SPESE PER TITOLI E MACROAGGREGATI</w:t>
            </w:r>
            <w:r w:rsidR="002121F5">
              <w:rPr>
                <w:noProof/>
                <w:webHidden/>
              </w:rPr>
              <w:tab/>
            </w:r>
            <w:r w:rsidR="004D02D0">
              <w:rPr>
                <w:noProof/>
                <w:webHidden/>
              </w:rPr>
              <w:fldChar w:fldCharType="begin"/>
            </w:r>
            <w:r w:rsidR="002121F5">
              <w:rPr>
                <w:noProof/>
                <w:webHidden/>
              </w:rPr>
              <w:instrText xml:space="preserve"> PAGEREF _Toc469216210 \h </w:instrText>
            </w:r>
            <w:r w:rsidR="004D02D0">
              <w:rPr>
                <w:noProof/>
                <w:webHidden/>
              </w:rPr>
            </w:r>
            <w:r w:rsidR="004D02D0">
              <w:rPr>
                <w:noProof/>
                <w:webHidden/>
              </w:rPr>
              <w:fldChar w:fldCharType="separate"/>
            </w:r>
            <w:r w:rsidR="004053CF">
              <w:rPr>
                <w:noProof/>
                <w:webHidden/>
              </w:rPr>
              <w:t>31</w:t>
            </w:r>
            <w:r w:rsidR="004D02D0">
              <w:rPr>
                <w:noProof/>
                <w:webHidden/>
              </w:rPr>
              <w:fldChar w:fldCharType="end"/>
            </w:r>
          </w:hyperlink>
        </w:p>
        <w:p w:rsidR="001811EC" w:rsidRDefault="009716D1">
          <w:pPr>
            <w:pStyle w:val="Sommario3"/>
            <w:tabs>
              <w:tab w:val="right" w:leader="dot" w:pos="9628"/>
            </w:tabs>
            <w:rPr>
              <w:rFonts w:asciiTheme="minorHAnsi" w:eastAsiaTheme="minorEastAsia" w:hAnsiTheme="minorHAnsi" w:cstheme="minorBidi"/>
              <w:noProof/>
              <w:sz w:val="22"/>
              <w:szCs w:val="22"/>
            </w:rPr>
          </w:pPr>
          <w:hyperlink w:anchor="_Toc469216211" w:history="1">
            <w:r w:rsidR="002121F5">
              <w:rPr>
                <w:rStyle w:val="Collegamentoipertestuale"/>
                <w:noProof/>
              </w:rPr>
              <w:t>Spese di personale</w:t>
            </w:r>
            <w:r w:rsidR="002121F5">
              <w:rPr>
                <w:noProof/>
                <w:webHidden/>
              </w:rPr>
              <w:tab/>
            </w:r>
            <w:r w:rsidR="004D02D0">
              <w:rPr>
                <w:noProof/>
                <w:webHidden/>
              </w:rPr>
              <w:fldChar w:fldCharType="begin"/>
            </w:r>
            <w:r w:rsidR="002121F5">
              <w:rPr>
                <w:noProof/>
                <w:webHidden/>
              </w:rPr>
              <w:instrText xml:space="preserve"> PAGEREF _Toc469216211 \h </w:instrText>
            </w:r>
            <w:r w:rsidR="004D02D0">
              <w:rPr>
                <w:noProof/>
                <w:webHidden/>
              </w:rPr>
            </w:r>
            <w:r w:rsidR="004D02D0">
              <w:rPr>
                <w:noProof/>
                <w:webHidden/>
              </w:rPr>
              <w:fldChar w:fldCharType="separate"/>
            </w:r>
            <w:r w:rsidR="004053CF">
              <w:rPr>
                <w:noProof/>
                <w:webHidden/>
              </w:rPr>
              <w:t>31</w:t>
            </w:r>
            <w:r w:rsidR="004D02D0">
              <w:rPr>
                <w:noProof/>
                <w:webHidden/>
              </w:rPr>
              <w:fldChar w:fldCharType="end"/>
            </w:r>
          </w:hyperlink>
        </w:p>
        <w:p w:rsidR="001811EC" w:rsidRDefault="009716D1">
          <w:pPr>
            <w:pStyle w:val="Sommario3"/>
            <w:tabs>
              <w:tab w:val="right" w:leader="dot" w:pos="9628"/>
            </w:tabs>
            <w:rPr>
              <w:rFonts w:asciiTheme="minorHAnsi" w:eastAsiaTheme="minorEastAsia" w:hAnsiTheme="minorHAnsi" w:cstheme="minorBidi"/>
              <w:noProof/>
              <w:sz w:val="22"/>
              <w:szCs w:val="22"/>
            </w:rPr>
          </w:pPr>
          <w:hyperlink w:anchor="_Toc469216212" w:history="1">
            <w:r w:rsidR="002121F5">
              <w:rPr>
                <w:rStyle w:val="Collegamentoipertestuale"/>
                <w:noProof/>
              </w:rPr>
              <w:t>Spese per incarichi di collaborazione autonoma (art. 46 D.L. 25 giugno 2008, n. 112 – conv. nella Legge 133/2008)</w:t>
            </w:r>
            <w:r w:rsidR="002121F5">
              <w:rPr>
                <w:noProof/>
                <w:webHidden/>
              </w:rPr>
              <w:tab/>
            </w:r>
            <w:r w:rsidR="004D02D0">
              <w:rPr>
                <w:noProof/>
                <w:webHidden/>
              </w:rPr>
              <w:fldChar w:fldCharType="begin"/>
            </w:r>
            <w:r w:rsidR="002121F5">
              <w:rPr>
                <w:noProof/>
                <w:webHidden/>
              </w:rPr>
              <w:instrText xml:space="preserve"> PAGEREF _Toc469216212 \h </w:instrText>
            </w:r>
            <w:r w:rsidR="004D02D0">
              <w:rPr>
                <w:noProof/>
                <w:webHidden/>
              </w:rPr>
            </w:r>
            <w:r w:rsidR="004D02D0">
              <w:rPr>
                <w:noProof/>
                <w:webHidden/>
              </w:rPr>
              <w:fldChar w:fldCharType="separate"/>
            </w:r>
            <w:r w:rsidR="004053CF">
              <w:rPr>
                <w:noProof/>
                <w:webHidden/>
              </w:rPr>
              <w:t>32</w:t>
            </w:r>
            <w:r w:rsidR="004D02D0">
              <w:rPr>
                <w:noProof/>
                <w:webHidden/>
              </w:rPr>
              <w:fldChar w:fldCharType="end"/>
            </w:r>
          </w:hyperlink>
        </w:p>
        <w:p w:rsidR="001811EC" w:rsidRDefault="009716D1">
          <w:pPr>
            <w:pStyle w:val="Sommario3"/>
            <w:tabs>
              <w:tab w:val="right" w:leader="dot" w:pos="9628"/>
            </w:tabs>
            <w:rPr>
              <w:rFonts w:asciiTheme="minorHAnsi" w:eastAsiaTheme="minorEastAsia" w:hAnsiTheme="minorHAnsi" w:cstheme="minorBidi"/>
              <w:noProof/>
              <w:sz w:val="22"/>
              <w:szCs w:val="22"/>
            </w:rPr>
          </w:pPr>
          <w:hyperlink w:anchor="_Toc469216213" w:history="1">
            <w:r w:rsidR="002121F5">
              <w:rPr>
                <w:rStyle w:val="Collegamentoipertestuale"/>
                <w:noProof/>
              </w:rPr>
              <w:t>Spese per acquisto beni e servizi</w:t>
            </w:r>
            <w:r w:rsidR="002121F5">
              <w:rPr>
                <w:noProof/>
                <w:webHidden/>
              </w:rPr>
              <w:tab/>
            </w:r>
            <w:r w:rsidR="004D02D0">
              <w:rPr>
                <w:noProof/>
                <w:webHidden/>
              </w:rPr>
              <w:fldChar w:fldCharType="begin"/>
            </w:r>
            <w:r w:rsidR="002121F5">
              <w:rPr>
                <w:noProof/>
                <w:webHidden/>
              </w:rPr>
              <w:instrText xml:space="preserve"> PAGEREF _Toc469216213 \h </w:instrText>
            </w:r>
            <w:r w:rsidR="004D02D0">
              <w:rPr>
                <w:noProof/>
                <w:webHidden/>
              </w:rPr>
            </w:r>
            <w:r w:rsidR="004D02D0">
              <w:rPr>
                <w:noProof/>
                <w:webHidden/>
              </w:rPr>
              <w:fldChar w:fldCharType="separate"/>
            </w:r>
            <w:r w:rsidR="004053CF">
              <w:rPr>
                <w:noProof/>
                <w:webHidden/>
              </w:rPr>
              <w:t>32</w:t>
            </w:r>
            <w:r w:rsidR="004D02D0">
              <w:rPr>
                <w:noProof/>
                <w:webHidden/>
              </w:rPr>
              <w:fldChar w:fldCharType="end"/>
            </w:r>
          </w:hyperlink>
        </w:p>
        <w:p w:rsidR="001811EC" w:rsidRDefault="009716D1">
          <w:pPr>
            <w:pStyle w:val="Sommario3"/>
            <w:tabs>
              <w:tab w:val="right" w:leader="dot" w:pos="9628"/>
            </w:tabs>
            <w:rPr>
              <w:rFonts w:asciiTheme="minorHAnsi" w:eastAsiaTheme="minorEastAsia" w:hAnsiTheme="minorHAnsi" w:cstheme="minorBidi"/>
              <w:noProof/>
              <w:sz w:val="22"/>
              <w:szCs w:val="22"/>
            </w:rPr>
          </w:pPr>
          <w:hyperlink w:anchor="_Toc469216214" w:history="1">
            <w:r w:rsidR="002121F5">
              <w:rPr>
                <w:rStyle w:val="Collegamentoipertestuale"/>
                <w:noProof/>
              </w:rPr>
              <w:t>Fondo crediti di dubbia esigibilità (FCDE)</w:t>
            </w:r>
            <w:r w:rsidR="002121F5">
              <w:rPr>
                <w:noProof/>
                <w:webHidden/>
              </w:rPr>
              <w:tab/>
            </w:r>
            <w:r w:rsidR="004D02D0">
              <w:rPr>
                <w:noProof/>
                <w:webHidden/>
              </w:rPr>
              <w:fldChar w:fldCharType="begin"/>
            </w:r>
            <w:r w:rsidR="002121F5">
              <w:rPr>
                <w:noProof/>
                <w:webHidden/>
              </w:rPr>
              <w:instrText xml:space="preserve"> PAGEREF _Toc469216214 \h </w:instrText>
            </w:r>
            <w:r w:rsidR="004D02D0">
              <w:rPr>
                <w:noProof/>
                <w:webHidden/>
              </w:rPr>
            </w:r>
            <w:r w:rsidR="004D02D0">
              <w:rPr>
                <w:noProof/>
                <w:webHidden/>
              </w:rPr>
              <w:fldChar w:fldCharType="separate"/>
            </w:r>
            <w:r w:rsidR="004053CF">
              <w:rPr>
                <w:noProof/>
                <w:webHidden/>
              </w:rPr>
              <w:t>33</w:t>
            </w:r>
            <w:r w:rsidR="004D02D0">
              <w:rPr>
                <w:noProof/>
                <w:webHidden/>
              </w:rPr>
              <w:fldChar w:fldCharType="end"/>
            </w:r>
          </w:hyperlink>
        </w:p>
        <w:p w:rsidR="001811EC" w:rsidRDefault="009716D1">
          <w:pPr>
            <w:pStyle w:val="Sommario3"/>
            <w:tabs>
              <w:tab w:val="right" w:leader="dot" w:pos="9628"/>
            </w:tabs>
            <w:rPr>
              <w:rFonts w:asciiTheme="minorHAnsi" w:eastAsiaTheme="minorEastAsia" w:hAnsiTheme="minorHAnsi" w:cstheme="minorBidi"/>
              <w:noProof/>
              <w:sz w:val="22"/>
              <w:szCs w:val="22"/>
            </w:rPr>
          </w:pPr>
          <w:hyperlink w:anchor="_Toc469216215" w:history="1">
            <w:r w:rsidR="002121F5">
              <w:rPr>
                <w:rStyle w:val="Collegamentoipertestuale"/>
                <w:noProof/>
              </w:rPr>
              <w:t>Fondo di riserva di competenza</w:t>
            </w:r>
            <w:r w:rsidR="002121F5">
              <w:rPr>
                <w:noProof/>
                <w:webHidden/>
              </w:rPr>
              <w:tab/>
            </w:r>
            <w:r w:rsidR="004D02D0">
              <w:rPr>
                <w:noProof/>
                <w:webHidden/>
              </w:rPr>
              <w:fldChar w:fldCharType="begin"/>
            </w:r>
            <w:r w:rsidR="002121F5">
              <w:rPr>
                <w:noProof/>
                <w:webHidden/>
              </w:rPr>
              <w:instrText xml:space="preserve"> PAGEREF _Toc469216215 \h </w:instrText>
            </w:r>
            <w:r w:rsidR="004D02D0">
              <w:rPr>
                <w:noProof/>
                <w:webHidden/>
              </w:rPr>
            </w:r>
            <w:r w:rsidR="004D02D0">
              <w:rPr>
                <w:noProof/>
                <w:webHidden/>
              </w:rPr>
              <w:fldChar w:fldCharType="separate"/>
            </w:r>
            <w:r w:rsidR="004053CF">
              <w:rPr>
                <w:noProof/>
                <w:webHidden/>
              </w:rPr>
              <w:t>36</w:t>
            </w:r>
            <w:r w:rsidR="004D02D0">
              <w:rPr>
                <w:noProof/>
                <w:webHidden/>
              </w:rPr>
              <w:fldChar w:fldCharType="end"/>
            </w:r>
          </w:hyperlink>
        </w:p>
        <w:p w:rsidR="001811EC" w:rsidRDefault="009716D1">
          <w:pPr>
            <w:pStyle w:val="Sommario3"/>
            <w:tabs>
              <w:tab w:val="right" w:leader="dot" w:pos="9628"/>
            </w:tabs>
            <w:rPr>
              <w:rFonts w:asciiTheme="minorHAnsi" w:eastAsiaTheme="minorEastAsia" w:hAnsiTheme="minorHAnsi" w:cstheme="minorBidi"/>
              <w:noProof/>
              <w:sz w:val="22"/>
              <w:szCs w:val="22"/>
            </w:rPr>
          </w:pPr>
          <w:hyperlink w:anchor="_Toc469216216" w:history="1">
            <w:r w:rsidR="002121F5">
              <w:rPr>
                <w:rStyle w:val="Collegamentoipertestuale"/>
                <w:noProof/>
              </w:rPr>
              <w:t>Fondi per spese potenziali</w:t>
            </w:r>
            <w:r w:rsidR="002121F5">
              <w:rPr>
                <w:noProof/>
                <w:webHidden/>
              </w:rPr>
              <w:tab/>
            </w:r>
            <w:r w:rsidR="004D02D0">
              <w:rPr>
                <w:noProof/>
                <w:webHidden/>
              </w:rPr>
              <w:fldChar w:fldCharType="begin"/>
            </w:r>
            <w:r w:rsidR="002121F5">
              <w:rPr>
                <w:noProof/>
                <w:webHidden/>
              </w:rPr>
              <w:instrText xml:space="preserve"> PAGEREF _Toc469216216 \h </w:instrText>
            </w:r>
            <w:r w:rsidR="004D02D0">
              <w:rPr>
                <w:noProof/>
                <w:webHidden/>
              </w:rPr>
            </w:r>
            <w:r w:rsidR="004D02D0">
              <w:rPr>
                <w:noProof/>
                <w:webHidden/>
              </w:rPr>
              <w:fldChar w:fldCharType="separate"/>
            </w:r>
            <w:r w:rsidR="004053CF">
              <w:rPr>
                <w:noProof/>
                <w:webHidden/>
              </w:rPr>
              <w:t>36</w:t>
            </w:r>
            <w:r w:rsidR="004D02D0">
              <w:rPr>
                <w:noProof/>
                <w:webHidden/>
              </w:rPr>
              <w:fldChar w:fldCharType="end"/>
            </w:r>
          </w:hyperlink>
        </w:p>
        <w:p w:rsidR="001811EC" w:rsidRDefault="009716D1">
          <w:pPr>
            <w:pStyle w:val="Sommario3"/>
            <w:tabs>
              <w:tab w:val="right" w:leader="dot" w:pos="9628"/>
            </w:tabs>
            <w:rPr>
              <w:rFonts w:asciiTheme="minorHAnsi" w:eastAsiaTheme="minorEastAsia" w:hAnsiTheme="minorHAnsi" w:cstheme="minorBidi"/>
              <w:noProof/>
              <w:sz w:val="22"/>
              <w:szCs w:val="22"/>
            </w:rPr>
          </w:pPr>
          <w:hyperlink w:anchor="_Toc469216217" w:history="1">
            <w:r w:rsidR="002121F5">
              <w:rPr>
                <w:rStyle w:val="Collegamentoipertestuale"/>
                <w:noProof/>
              </w:rPr>
              <w:t>Fondo di riserva di cassa</w:t>
            </w:r>
            <w:r w:rsidR="002121F5">
              <w:rPr>
                <w:noProof/>
                <w:webHidden/>
              </w:rPr>
              <w:tab/>
            </w:r>
            <w:r w:rsidR="004D02D0">
              <w:rPr>
                <w:noProof/>
                <w:webHidden/>
              </w:rPr>
              <w:fldChar w:fldCharType="begin"/>
            </w:r>
            <w:r w:rsidR="002121F5">
              <w:rPr>
                <w:noProof/>
                <w:webHidden/>
              </w:rPr>
              <w:instrText xml:space="preserve"> PAGEREF _Toc469216217 \h </w:instrText>
            </w:r>
            <w:r w:rsidR="004D02D0">
              <w:rPr>
                <w:noProof/>
                <w:webHidden/>
              </w:rPr>
            </w:r>
            <w:r w:rsidR="004D02D0">
              <w:rPr>
                <w:noProof/>
                <w:webHidden/>
              </w:rPr>
              <w:fldChar w:fldCharType="separate"/>
            </w:r>
            <w:r w:rsidR="004053CF">
              <w:rPr>
                <w:noProof/>
                <w:webHidden/>
              </w:rPr>
              <w:t>36</w:t>
            </w:r>
            <w:r w:rsidR="004D02D0">
              <w:rPr>
                <w:noProof/>
                <w:webHidden/>
              </w:rPr>
              <w:fldChar w:fldCharType="end"/>
            </w:r>
          </w:hyperlink>
        </w:p>
        <w:p w:rsidR="001811EC" w:rsidRDefault="009716D1">
          <w:pPr>
            <w:pStyle w:val="Sommario1"/>
            <w:tabs>
              <w:tab w:val="right" w:leader="dot" w:pos="9628"/>
            </w:tabs>
            <w:rPr>
              <w:rFonts w:asciiTheme="minorHAnsi" w:eastAsiaTheme="minorEastAsia" w:hAnsiTheme="minorHAnsi" w:cstheme="minorBidi"/>
              <w:noProof/>
              <w:sz w:val="22"/>
              <w:szCs w:val="22"/>
            </w:rPr>
          </w:pPr>
          <w:hyperlink w:anchor="_Toc469216218" w:history="1">
            <w:r w:rsidR="002121F5">
              <w:rPr>
                <w:rStyle w:val="Collegamentoipertestuale"/>
                <w:noProof/>
              </w:rPr>
              <w:t>ORGANISMI PARTECIPATI</w:t>
            </w:r>
            <w:r w:rsidR="002121F5">
              <w:rPr>
                <w:noProof/>
                <w:webHidden/>
              </w:rPr>
              <w:tab/>
            </w:r>
            <w:r w:rsidR="004D02D0">
              <w:rPr>
                <w:noProof/>
                <w:webHidden/>
              </w:rPr>
              <w:fldChar w:fldCharType="begin"/>
            </w:r>
            <w:r w:rsidR="002121F5">
              <w:rPr>
                <w:noProof/>
                <w:webHidden/>
              </w:rPr>
              <w:instrText xml:space="preserve"> PAGEREF _Toc469216218 \h </w:instrText>
            </w:r>
            <w:r w:rsidR="004D02D0">
              <w:rPr>
                <w:noProof/>
                <w:webHidden/>
              </w:rPr>
            </w:r>
            <w:r w:rsidR="004D02D0">
              <w:rPr>
                <w:noProof/>
                <w:webHidden/>
              </w:rPr>
              <w:fldChar w:fldCharType="separate"/>
            </w:r>
            <w:r w:rsidR="004053CF">
              <w:rPr>
                <w:noProof/>
                <w:webHidden/>
              </w:rPr>
              <w:t>37</w:t>
            </w:r>
            <w:r w:rsidR="004D02D0">
              <w:rPr>
                <w:noProof/>
                <w:webHidden/>
              </w:rPr>
              <w:fldChar w:fldCharType="end"/>
            </w:r>
          </w:hyperlink>
        </w:p>
        <w:p w:rsidR="001811EC" w:rsidRDefault="009716D1">
          <w:pPr>
            <w:pStyle w:val="Sommario1"/>
            <w:tabs>
              <w:tab w:val="right" w:leader="dot" w:pos="9628"/>
            </w:tabs>
            <w:rPr>
              <w:rFonts w:asciiTheme="minorHAnsi" w:eastAsiaTheme="minorEastAsia" w:hAnsiTheme="minorHAnsi" w:cstheme="minorBidi"/>
              <w:noProof/>
              <w:sz w:val="22"/>
              <w:szCs w:val="22"/>
            </w:rPr>
          </w:pPr>
          <w:hyperlink w:anchor="_Toc469216219" w:history="1">
            <w:r w:rsidR="002121F5">
              <w:rPr>
                <w:rStyle w:val="Collegamentoipertestuale"/>
                <w:noProof/>
              </w:rPr>
              <w:t>SPESE IN CONTO CAPITALE</w:t>
            </w:r>
            <w:r w:rsidR="002121F5">
              <w:rPr>
                <w:noProof/>
                <w:webHidden/>
              </w:rPr>
              <w:tab/>
            </w:r>
            <w:r w:rsidR="004D02D0">
              <w:rPr>
                <w:noProof/>
                <w:webHidden/>
              </w:rPr>
              <w:fldChar w:fldCharType="begin"/>
            </w:r>
            <w:r w:rsidR="002121F5">
              <w:rPr>
                <w:noProof/>
                <w:webHidden/>
              </w:rPr>
              <w:instrText xml:space="preserve"> PAGEREF _Toc469216219 \h </w:instrText>
            </w:r>
            <w:r w:rsidR="004D02D0">
              <w:rPr>
                <w:noProof/>
                <w:webHidden/>
              </w:rPr>
            </w:r>
            <w:r w:rsidR="004D02D0">
              <w:rPr>
                <w:noProof/>
                <w:webHidden/>
              </w:rPr>
              <w:fldChar w:fldCharType="separate"/>
            </w:r>
            <w:r w:rsidR="004053CF">
              <w:rPr>
                <w:noProof/>
                <w:webHidden/>
              </w:rPr>
              <w:t>39</w:t>
            </w:r>
            <w:r w:rsidR="004D02D0">
              <w:rPr>
                <w:noProof/>
                <w:webHidden/>
              </w:rPr>
              <w:fldChar w:fldCharType="end"/>
            </w:r>
          </w:hyperlink>
        </w:p>
        <w:p w:rsidR="001811EC" w:rsidRDefault="009716D1">
          <w:pPr>
            <w:pStyle w:val="Sommario1"/>
            <w:tabs>
              <w:tab w:val="right" w:leader="dot" w:pos="9628"/>
            </w:tabs>
            <w:rPr>
              <w:rFonts w:asciiTheme="minorHAnsi" w:eastAsiaTheme="minorEastAsia" w:hAnsiTheme="minorHAnsi" w:cstheme="minorBidi"/>
              <w:noProof/>
              <w:sz w:val="22"/>
              <w:szCs w:val="22"/>
            </w:rPr>
          </w:pPr>
          <w:hyperlink w:anchor="_Toc469216220" w:history="1">
            <w:r w:rsidR="002121F5">
              <w:rPr>
                <w:rStyle w:val="Collegamentoipertestuale"/>
                <w:noProof/>
              </w:rPr>
              <w:t>INDEBITAMENTO</w:t>
            </w:r>
            <w:r w:rsidR="002121F5">
              <w:rPr>
                <w:noProof/>
                <w:webHidden/>
              </w:rPr>
              <w:tab/>
            </w:r>
            <w:r w:rsidR="004D02D0">
              <w:rPr>
                <w:noProof/>
                <w:webHidden/>
              </w:rPr>
              <w:fldChar w:fldCharType="begin"/>
            </w:r>
            <w:r w:rsidR="002121F5">
              <w:rPr>
                <w:noProof/>
                <w:webHidden/>
              </w:rPr>
              <w:instrText xml:space="preserve"> PAGEREF _Toc469216220 \h </w:instrText>
            </w:r>
            <w:r w:rsidR="004D02D0">
              <w:rPr>
                <w:noProof/>
                <w:webHidden/>
              </w:rPr>
            </w:r>
            <w:r w:rsidR="004D02D0">
              <w:rPr>
                <w:noProof/>
                <w:webHidden/>
              </w:rPr>
              <w:fldChar w:fldCharType="separate"/>
            </w:r>
            <w:r w:rsidR="004053CF">
              <w:rPr>
                <w:noProof/>
                <w:webHidden/>
              </w:rPr>
              <w:t>41</w:t>
            </w:r>
            <w:r w:rsidR="004D02D0">
              <w:rPr>
                <w:noProof/>
                <w:webHidden/>
              </w:rPr>
              <w:fldChar w:fldCharType="end"/>
            </w:r>
          </w:hyperlink>
        </w:p>
        <w:p w:rsidR="001811EC" w:rsidRDefault="009716D1">
          <w:pPr>
            <w:pStyle w:val="Sommario1"/>
            <w:tabs>
              <w:tab w:val="right" w:leader="dot" w:pos="9628"/>
            </w:tabs>
            <w:rPr>
              <w:rFonts w:asciiTheme="minorHAnsi" w:eastAsiaTheme="minorEastAsia" w:hAnsiTheme="minorHAnsi" w:cstheme="minorBidi"/>
              <w:noProof/>
              <w:sz w:val="22"/>
              <w:szCs w:val="22"/>
            </w:rPr>
          </w:pPr>
          <w:hyperlink w:anchor="_Toc469216221" w:history="1">
            <w:r w:rsidR="002121F5">
              <w:rPr>
                <w:rStyle w:val="Collegamentoipertestuale"/>
                <w:noProof/>
              </w:rPr>
              <w:t>OSSERVAZIONI E SUGGERIMENTI</w:t>
            </w:r>
            <w:r w:rsidR="002121F5">
              <w:rPr>
                <w:noProof/>
                <w:webHidden/>
              </w:rPr>
              <w:tab/>
            </w:r>
            <w:r w:rsidR="004D02D0">
              <w:rPr>
                <w:noProof/>
                <w:webHidden/>
              </w:rPr>
              <w:fldChar w:fldCharType="begin"/>
            </w:r>
            <w:r w:rsidR="002121F5">
              <w:rPr>
                <w:noProof/>
                <w:webHidden/>
              </w:rPr>
              <w:instrText xml:space="preserve"> PAGEREF _Toc469216221 \h </w:instrText>
            </w:r>
            <w:r w:rsidR="004D02D0">
              <w:rPr>
                <w:noProof/>
                <w:webHidden/>
              </w:rPr>
            </w:r>
            <w:r w:rsidR="004D02D0">
              <w:rPr>
                <w:noProof/>
                <w:webHidden/>
              </w:rPr>
              <w:fldChar w:fldCharType="separate"/>
            </w:r>
            <w:r w:rsidR="004053CF">
              <w:rPr>
                <w:noProof/>
                <w:webHidden/>
              </w:rPr>
              <w:t>43</w:t>
            </w:r>
            <w:r w:rsidR="004D02D0">
              <w:rPr>
                <w:noProof/>
                <w:webHidden/>
              </w:rPr>
              <w:fldChar w:fldCharType="end"/>
            </w:r>
          </w:hyperlink>
        </w:p>
        <w:p w:rsidR="001811EC" w:rsidRDefault="009716D1">
          <w:pPr>
            <w:pStyle w:val="Sommario1"/>
            <w:tabs>
              <w:tab w:val="right" w:leader="dot" w:pos="9628"/>
            </w:tabs>
            <w:rPr>
              <w:rFonts w:asciiTheme="minorHAnsi" w:eastAsiaTheme="minorEastAsia" w:hAnsiTheme="minorHAnsi" w:cstheme="minorBidi"/>
              <w:noProof/>
              <w:sz w:val="22"/>
              <w:szCs w:val="22"/>
            </w:rPr>
          </w:pPr>
          <w:hyperlink w:anchor="_Toc469216222" w:history="1">
            <w:r w:rsidR="002121F5">
              <w:rPr>
                <w:rStyle w:val="Collegamentoipertestuale"/>
                <w:noProof/>
              </w:rPr>
              <w:t>CONCLUSIONI</w:t>
            </w:r>
            <w:r w:rsidR="002121F5">
              <w:rPr>
                <w:noProof/>
                <w:webHidden/>
              </w:rPr>
              <w:tab/>
            </w:r>
            <w:r w:rsidR="004D02D0">
              <w:rPr>
                <w:noProof/>
                <w:webHidden/>
              </w:rPr>
              <w:fldChar w:fldCharType="begin"/>
            </w:r>
            <w:r w:rsidR="002121F5">
              <w:rPr>
                <w:noProof/>
                <w:webHidden/>
              </w:rPr>
              <w:instrText xml:space="preserve"> PAGEREF _Toc469216222 \h </w:instrText>
            </w:r>
            <w:r w:rsidR="004D02D0">
              <w:rPr>
                <w:noProof/>
                <w:webHidden/>
              </w:rPr>
            </w:r>
            <w:r w:rsidR="004D02D0">
              <w:rPr>
                <w:noProof/>
                <w:webHidden/>
              </w:rPr>
              <w:fldChar w:fldCharType="separate"/>
            </w:r>
            <w:r w:rsidR="004053CF">
              <w:rPr>
                <w:noProof/>
                <w:webHidden/>
              </w:rPr>
              <w:t>46</w:t>
            </w:r>
            <w:r w:rsidR="004D02D0">
              <w:rPr>
                <w:noProof/>
                <w:webHidden/>
              </w:rPr>
              <w:fldChar w:fldCharType="end"/>
            </w:r>
          </w:hyperlink>
        </w:p>
        <w:p w:rsidR="001811EC" w:rsidRDefault="004D02D0">
          <w:pPr>
            <w:rPr>
              <w:rFonts w:ascii="Arial" w:hAnsi="Arial" w:cs="Arial"/>
            </w:rPr>
          </w:pPr>
          <w:r>
            <w:rPr>
              <w:rFonts w:ascii="Arial" w:hAnsi="Arial" w:cs="Arial"/>
              <w:b/>
              <w:bCs/>
            </w:rPr>
            <w:fldChar w:fldCharType="end"/>
          </w:r>
        </w:p>
      </w:sdtContent>
    </w:sdt>
    <w:p w:rsidR="001811EC" w:rsidRDefault="001811EC">
      <w:pPr>
        <w:rPr>
          <w:rFonts w:ascii="Arial" w:hAnsi="Arial" w:cs="Arial"/>
          <w:b/>
          <w:sz w:val="22"/>
          <w:szCs w:val="22"/>
        </w:rPr>
      </w:pPr>
    </w:p>
    <w:p w:rsidR="001811EC" w:rsidRDefault="001811EC">
      <w:pPr>
        <w:rPr>
          <w:rFonts w:ascii="Arial" w:hAnsi="Arial" w:cs="Arial"/>
          <w:b/>
          <w:sz w:val="22"/>
          <w:szCs w:val="22"/>
        </w:rPr>
      </w:pPr>
    </w:p>
    <w:p w:rsidR="001811EC" w:rsidRDefault="001811EC">
      <w:pPr>
        <w:pStyle w:val="cpv"/>
        <w:widowControl/>
        <w:spacing w:before="220"/>
        <w:jc w:val="center"/>
        <w:rPr>
          <w:rFonts w:ascii="Arial" w:hAnsi="Arial" w:cs="Arial"/>
          <w:b/>
          <w:sz w:val="22"/>
          <w:szCs w:val="22"/>
        </w:rPr>
      </w:pPr>
    </w:p>
    <w:p w:rsidR="001811EC" w:rsidRDefault="001811EC">
      <w:pPr>
        <w:pStyle w:val="cpv"/>
        <w:widowControl/>
        <w:spacing w:before="220"/>
        <w:jc w:val="center"/>
        <w:rPr>
          <w:rFonts w:ascii="Arial" w:hAnsi="Arial" w:cs="Arial"/>
          <w:b/>
          <w:sz w:val="32"/>
        </w:rPr>
      </w:pPr>
    </w:p>
    <w:p w:rsidR="001811EC" w:rsidRDefault="002121F5">
      <w:pPr>
        <w:rPr>
          <w:rFonts w:ascii="Arial" w:hAnsi="Arial" w:cs="Arial"/>
          <w:b/>
          <w:sz w:val="32"/>
          <w:szCs w:val="20"/>
        </w:rPr>
      </w:pPr>
      <w:r>
        <w:rPr>
          <w:rFonts w:ascii="Arial" w:hAnsi="Arial" w:cs="Arial"/>
          <w:b/>
          <w:sz w:val="32"/>
        </w:rPr>
        <w:br w:type="page"/>
      </w:r>
    </w:p>
    <w:p w:rsidR="001811EC" w:rsidRDefault="002121F5">
      <w:pPr>
        <w:pStyle w:val="Titolo1"/>
        <w:pBdr>
          <w:bottom w:val="single" w:sz="6" w:space="2" w:color="auto" w:shadow="1"/>
        </w:pBdr>
        <w:shd w:val="clear" w:color="auto" w:fill="B6DDE8" w:themeFill="accent5" w:themeFillTint="66"/>
        <w:rPr>
          <w:rStyle w:val="Titolodellibro"/>
          <w:b/>
        </w:rPr>
      </w:pPr>
      <w:bookmarkStart w:id="1" w:name="_VERIFICHE_PRELIMINARI"/>
      <w:bookmarkStart w:id="2" w:name="_Toc346838815"/>
      <w:bookmarkStart w:id="3" w:name="_Toc469216193"/>
      <w:bookmarkEnd w:id="1"/>
      <w:r>
        <w:rPr>
          <w:rStyle w:val="Titolodellibro"/>
          <w:b/>
        </w:rPr>
        <w:lastRenderedPageBreak/>
        <w:t>PREMESSA E VERIFICHE PRELIMINARI</w:t>
      </w:r>
      <w:bookmarkEnd w:id="2"/>
      <w:bookmarkEnd w:id="3"/>
    </w:p>
    <w:p w:rsidR="001811EC" w:rsidRDefault="002121F5">
      <w:pPr>
        <w:spacing w:after="120"/>
        <w:jc w:val="both"/>
        <w:rPr>
          <w:rFonts w:ascii="Arial" w:hAnsi="Arial" w:cs="Arial"/>
          <w:sz w:val="22"/>
          <w:szCs w:val="22"/>
        </w:rPr>
      </w:pPr>
      <w:r>
        <w:rPr>
          <w:rFonts w:ascii="Arial" w:hAnsi="Arial" w:cs="Arial"/>
          <w:sz w:val="22"/>
          <w:szCs w:val="22"/>
        </w:rPr>
        <w:t>L’organo di revisione del Comune di ……. nominato con delibera consiliare n…… del……</w:t>
      </w:r>
    </w:p>
    <w:p w:rsidR="001811EC" w:rsidRDefault="002121F5">
      <w:pPr>
        <w:spacing w:after="120"/>
        <w:jc w:val="both"/>
        <w:rPr>
          <w:rFonts w:ascii="Arial" w:hAnsi="Arial" w:cs="Arial"/>
          <w:sz w:val="22"/>
          <w:szCs w:val="22"/>
        </w:rPr>
      </w:pPr>
      <w:r>
        <w:rPr>
          <w:rFonts w:ascii="Arial" w:hAnsi="Arial" w:cs="Arial"/>
          <w:sz w:val="22"/>
          <w:szCs w:val="22"/>
        </w:rPr>
        <w:t xml:space="preserve">Premesso che l’ente deve redigere il bilancio di previsione rispettando il titolo II del </w:t>
      </w:r>
      <w:hyperlink r:id="rId23" w:history="1">
        <w:r>
          <w:rPr>
            <w:rStyle w:val="Collegamentoipertestuale"/>
            <w:rFonts w:ascii="Arial" w:hAnsi="Arial" w:cs="Arial"/>
            <w:sz w:val="22"/>
            <w:szCs w:val="22"/>
          </w:rPr>
          <w:t>D.Lgs.267/2000</w:t>
        </w:r>
      </w:hyperlink>
      <w:r>
        <w:rPr>
          <w:rFonts w:ascii="Arial" w:hAnsi="Arial" w:cs="Arial"/>
          <w:sz w:val="22"/>
          <w:szCs w:val="22"/>
        </w:rPr>
        <w:t xml:space="preserve"> (TUEL), i principi contabili generali e applicati alla contabilità finanziaria, lo schema di bilancio di cui all’ </w:t>
      </w:r>
      <w:hyperlink r:id="rId24" w:history="1">
        <w:r>
          <w:rPr>
            <w:rStyle w:val="Collegamentoipertestuale"/>
            <w:rFonts w:ascii="Arial" w:hAnsi="Arial" w:cs="Arial"/>
            <w:sz w:val="22"/>
            <w:szCs w:val="22"/>
          </w:rPr>
          <w:t>allegato 9 al D.Lgs.118/2011</w:t>
        </w:r>
      </w:hyperlink>
      <w:r>
        <w:rPr>
          <w:rFonts w:ascii="Arial" w:hAnsi="Arial" w:cs="Arial"/>
          <w:sz w:val="22"/>
          <w:szCs w:val="22"/>
        </w:rPr>
        <w:t>.</w:t>
      </w:r>
    </w:p>
    <w:p w:rsidR="001811EC" w:rsidRDefault="001811EC">
      <w:pPr>
        <w:rPr>
          <w:rFonts w:ascii="Arial" w:hAnsi="Arial" w:cs="Arial"/>
          <w:sz w:val="22"/>
          <w:szCs w:val="22"/>
        </w:rPr>
      </w:pPr>
    </w:p>
    <w:p w:rsidR="001811EC" w:rsidRDefault="002121F5">
      <w:pPr>
        <w:numPr>
          <w:ilvl w:val="0"/>
          <w:numId w:val="1"/>
        </w:numPr>
        <w:tabs>
          <w:tab w:val="left" w:pos="360"/>
          <w:tab w:val="left" w:pos="426"/>
        </w:tabs>
        <w:spacing w:after="120"/>
        <w:ind w:hanging="357"/>
        <w:jc w:val="both"/>
        <w:rPr>
          <w:rFonts w:ascii="Arial" w:hAnsi="Arial" w:cs="Arial"/>
          <w:sz w:val="22"/>
          <w:szCs w:val="22"/>
        </w:rPr>
      </w:pPr>
      <w:r>
        <w:rPr>
          <w:rFonts w:ascii="Arial" w:hAnsi="Arial" w:cs="Arial"/>
          <w:sz w:val="22"/>
          <w:szCs w:val="22"/>
        </w:rPr>
        <w:t>ha ricevuto in data ……………… lo schema del bilancio di previsione per gli esercizi 2017-2019, approvato dalla giunta comunale in data …….con delibera n. ……. completo dei seguenti allegati obbligatori indicati:</w:t>
      </w:r>
    </w:p>
    <w:p w:rsidR="001811EC" w:rsidRDefault="002121F5">
      <w:pPr>
        <w:numPr>
          <w:ilvl w:val="0"/>
          <w:numId w:val="1"/>
        </w:numPr>
        <w:tabs>
          <w:tab w:val="left" w:pos="360"/>
          <w:tab w:val="left" w:pos="426"/>
        </w:tabs>
        <w:spacing w:after="120"/>
        <w:ind w:hanging="357"/>
        <w:jc w:val="both"/>
        <w:rPr>
          <w:rFonts w:ascii="Arial" w:hAnsi="Arial" w:cs="Arial"/>
          <w:sz w:val="22"/>
          <w:szCs w:val="22"/>
        </w:rPr>
      </w:pPr>
      <w:r>
        <w:rPr>
          <w:rFonts w:ascii="Arial" w:hAnsi="Arial" w:cs="Arial"/>
          <w:b/>
          <w:sz w:val="22"/>
          <w:szCs w:val="22"/>
        </w:rPr>
        <w:t>nell’</w:t>
      </w:r>
      <w:hyperlink r:id="rId25" w:history="1">
        <w:r>
          <w:rPr>
            <w:rStyle w:val="Collegamentoipertestuale"/>
            <w:rFonts w:ascii="Arial" w:hAnsi="Arial" w:cs="Arial"/>
            <w:b/>
            <w:sz w:val="22"/>
            <w:szCs w:val="22"/>
          </w:rPr>
          <w:t>art.11, comma 3 del D.Lgs.118/2011</w:t>
        </w:r>
      </w:hyperlink>
      <w:r>
        <w:rPr>
          <w:rFonts w:ascii="Arial" w:hAnsi="Arial" w:cs="Arial"/>
          <w:sz w:val="22"/>
          <w:szCs w:val="22"/>
        </w:rPr>
        <w:t>:</w:t>
      </w:r>
    </w:p>
    <w:p w:rsidR="001811EC" w:rsidRDefault="002121F5">
      <w:pPr>
        <w:pStyle w:val="Paragrafoelenco"/>
        <w:tabs>
          <w:tab w:val="left" w:pos="360"/>
          <w:tab w:val="left" w:pos="426"/>
        </w:tabs>
        <w:spacing w:after="120"/>
        <w:ind w:left="862" w:hanging="357"/>
        <w:jc w:val="both"/>
        <w:rPr>
          <w:rFonts w:ascii="Arial" w:hAnsi="Arial" w:cs="Arial"/>
          <w:sz w:val="22"/>
          <w:szCs w:val="22"/>
        </w:rPr>
      </w:pPr>
      <w:r>
        <w:rPr>
          <w:rFonts w:ascii="Arial" w:hAnsi="Arial" w:cs="Arial"/>
          <w:sz w:val="22"/>
          <w:szCs w:val="22"/>
        </w:rPr>
        <w:t>a)</w:t>
      </w:r>
      <w:r>
        <w:rPr>
          <w:rFonts w:ascii="Arial" w:hAnsi="Arial" w:cs="Arial"/>
          <w:sz w:val="22"/>
          <w:szCs w:val="22"/>
        </w:rPr>
        <w:tab/>
        <w:t xml:space="preserve"> il prospetto esplicativo del presunto risultato di amministrazione dell’esercizio 2016; </w:t>
      </w:r>
    </w:p>
    <w:p w:rsidR="001811EC" w:rsidRDefault="001811EC">
      <w:pPr>
        <w:pStyle w:val="Paragrafoelenco"/>
        <w:tabs>
          <w:tab w:val="left" w:pos="360"/>
          <w:tab w:val="left" w:pos="426"/>
        </w:tabs>
        <w:spacing w:after="120"/>
        <w:ind w:left="862" w:hanging="357"/>
        <w:jc w:val="both"/>
        <w:rPr>
          <w:rFonts w:ascii="Arial" w:hAnsi="Arial" w:cs="Arial"/>
          <w:sz w:val="22"/>
          <w:szCs w:val="22"/>
        </w:rPr>
      </w:pPr>
    </w:p>
    <w:p w:rsidR="001811EC" w:rsidRDefault="002121F5">
      <w:pPr>
        <w:pStyle w:val="Paragrafoelenco"/>
        <w:tabs>
          <w:tab w:val="left" w:pos="360"/>
          <w:tab w:val="left" w:pos="426"/>
        </w:tabs>
        <w:spacing w:after="120"/>
        <w:ind w:left="862" w:hanging="357"/>
        <w:jc w:val="both"/>
        <w:rPr>
          <w:rFonts w:ascii="Arial" w:hAnsi="Arial" w:cs="Arial"/>
          <w:sz w:val="22"/>
          <w:szCs w:val="22"/>
        </w:rPr>
      </w:pPr>
      <w:r>
        <w:rPr>
          <w:rFonts w:ascii="Arial" w:hAnsi="Arial" w:cs="Arial"/>
          <w:sz w:val="22"/>
          <w:szCs w:val="22"/>
        </w:rPr>
        <w:t>b)</w:t>
      </w:r>
      <w:r>
        <w:rPr>
          <w:rFonts w:ascii="Arial" w:hAnsi="Arial" w:cs="Arial"/>
          <w:sz w:val="22"/>
          <w:szCs w:val="22"/>
        </w:rPr>
        <w:tab/>
        <w:t xml:space="preserve"> il prospetto concernente la composizione, per missioni e programmi, del fondo pluriennale vincolato per ciascuno degli esercizi considerati nel bilancio di previsione; </w:t>
      </w:r>
    </w:p>
    <w:p w:rsidR="001811EC" w:rsidRDefault="001811EC">
      <w:pPr>
        <w:pStyle w:val="Paragrafoelenco"/>
        <w:tabs>
          <w:tab w:val="left" w:pos="360"/>
          <w:tab w:val="left" w:pos="426"/>
        </w:tabs>
        <w:spacing w:after="120"/>
        <w:ind w:left="862" w:hanging="357"/>
        <w:jc w:val="both"/>
        <w:rPr>
          <w:rFonts w:ascii="Arial" w:hAnsi="Arial" w:cs="Arial"/>
          <w:sz w:val="22"/>
          <w:szCs w:val="22"/>
        </w:rPr>
      </w:pPr>
    </w:p>
    <w:p w:rsidR="001811EC" w:rsidRDefault="002121F5">
      <w:pPr>
        <w:pStyle w:val="Paragrafoelenco"/>
        <w:tabs>
          <w:tab w:val="left" w:pos="360"/>
          <w:tab w:val="left" w:pos="426"/>
        </w:tabs>
        <w:spacing w:after="120"/>
        <w:ind w:left="862" w:hanging="357"/>
        <w:jc w:val="both"/>
        <w:rPr>
          <w:rFonts w:ascii="Arial" w:hAnsi="Arial" w:cs="Arial"/>
          <w:sz w:val="22"/>
          <w:szCs w:val="22"/>
        </w:rPr>
      </w:pPr>
      <w:r>
        <w:rPr>
          <w:rFonts w:ascii="Arial" w:hAnsi="Arial" w:cs="Arial"/>
          <w:sz w:val="22"/>
          <w:szCs w:val="22"/>
        </w:rPr>
        <w:t>c)</w:t>
      </w:r>
      <w:r>
        <w:rPr>
          <w:rFonts w:ascii="Arial" w:hAnsi="Arial" w:cs="Arial"/>
          <w:sz w:val="22"/>
          <w:szCs w:val="22"/>
        </w:rPr>
        <w:tab/>
        <w:t xml:space="preserve"> il prospetto concernente la composizione del Fondo Crediti di Dubbia Esigibilità per ciascuno degli esercizi considerati nel bilancio di previsione; </w:t>
      </w:r>
    </w:p>
    <w:p w:rsidR="001811EC" w:rsidRDefault="001811EC">
      <w:pPr>
        <w:pStyle w:val="Paragrafoelenco"/>
        <w:tabs>
          <w:tab w:val="left" w:pos="360"/>
          <w:tab w:val="left" w:pos="426"/>
        </w:tabs>
        <w:spacing w:after="120"/>
        <w:ind w:left="862" w:hanging="357"/>
        <w:jc w:val="both"/>
        <w:rPr>
          <w:rFonts w:ascii="Arial" w:hAnsi="Arial" w:cs="Arial"/>
          <w:sz w:val="22"/>
          <w:szCs w:val="22"/>
        </w:rPr>
      </w:pPr>
    </w:p>
    <w:p w:rsidR="001811EC" w:rsidRDefault="002121F5">
      <w:pPr>
        <w:pStyle w:val="Paragrafoelenco"/>
        <w:tabs>
          <w:tab w:val="left" w:pos="360"/>
          <w:tab w:val="left" w:pos="426"/>
        </w:tabs>
        <w:spacing w:after="120"/>
        <w:ind w:left="862" w:hanging="357"/>
        <w:jc w:val="both"/>
        <w:rPr>
          <w:rFonts w:ascii="Arial" w:hAnsi="Arial" w:cs="Arial"/>
          <w:sz w:val="22"/>
          <w:szCs w:val="22"/>
        </w:rPr>
      </w:pPr>
      <w:r>
        <w:rPr>
          <w:rFonts w:ascii="Arial" w:hAnsi="Arial" w:cs="Arial"/>
          <w:sz w:val="22"/>
          <w:szCs w:val="22"/>
        </w:rPr>
        <w:t>d)</w:t>
      </w:r>
      <w:r>
        <w:rPr>
          <w:rFonts w:ascii="Arial" w:hAnsi="Arial" w:cs="Arial"/>
          <w:sz w:val="22"/>
          <w:szCs w:val="22"/>
        </w:rPr>
        <w:tab/>
        <w:t xml:space="preserve"> il prospetto dimostrativo del rispetto dei vincoli di indebitamento; </w:t>
      </w:r>
    </w:p>
    <w:p w:rsidR="001811EC" w:rsidRDefault="001811EC">
      <w:pPr>
        <w:pStyle w:val="Paragrafoelenco"/>
        <w:tabs>
          <w:tab w:val="left" w:pos="360"/>
          <w:tab w:val="left" w:pos="426"/>
        </w:tabs>
        <w:spacing w:after="120"/>
        <w:ind w:left="862" w:hanging="357"/>
        <w:jc w:val="both"/>
        <w:rPr>
          <w:rFonts w:ascii="Arial" w:hAnsi="Arial" w:cs="Arial"/>
          <w:sz w:val="22"/>
          <w:szCs w:val="22"/>
        </w:rPr>
      </w:pPr>
    </w:p>
    <w:p w:rsidR="001811EC" w:rsidRDefault="002121F5">
      <w:pPr>
        <w:pStyle w:val="Paragrafoelenco"/>
        <w:tabs>
          <w:tab w:val="left" w:pos="360"/>
          <w:tab w:val="left" w:pos="426"/>
        </w:tabs>
        <w:spacing w:after="120"/>
        <w:ind w:left="862" w:hanging="357"/>
        <w:jc w:val="both"/>
        <w:rPr>
          <w:rFonts w:ascii="Arial" w:hAnsi="Arial" w:cs="Arial"/>
          <w:sz w:val="22"/>
          <w:szCs w:val="22"/>
        </w:rPr>
      </w:pPr>
      <w:r>
        <w:rPr>
          <w:rFonts w:ascii="Arial" w:hAnsi="Arial" w:cs="Arial"/>
          <w:sz w:val="22"/>
          <w:szCs w:val="22"/>
        </w:rPr>
        <w:t>e)</w:t>
      </w:r>
      <w:r>
        <w:rPr>
          <w:rFonts w:ascii="Arial" w:hAnsi="Arial" w:cs="Arial"/>
          <w:sz w:val="22"/>
          <w:szCs w:val="22"/>
        </w:rPr>
        <w:tab/>
        <w:t xml:space="preserve"> il prospetto delle spese previste per l'utilizzo di contributi e trasferimenti da parte di organismi comunitari e internazionali, per ciascuno degli anni considerati nel bilancio di previsione; </w:t>
      </w:r>
    </w:p>
    <w:p w:rsidR="001811EC" w:rsidRDefault="001811EC">
      <w:pPr>
        <w:pStyle w:val="Paragrafoelenco"/>
        <w:tabs>
          <w:tab w:val="left" w:pos="360"/>
          <w:tab w:val="left" w:pos="426"/>
        </w:tabs>
        <w:spacing w:after="120"/>
        <w:ind w:left="862" w:hanging="357"/>
        <w:jc w:val="both"/>
        <w:rPr>
          <w:rFonts w:ascii="Arial" w:hAnsi="Arial" w:cs="Arial"/>
          <w:sz w:val="22"/>
          <w:szCs w:val="22"/>
        </w:rPr>
      </w:pPr>
    </w:p>
    <w:p w:rsidR="001811EC" w:rsidRDefault="002121F5">
      <w:pPr>
        <w:pStyle w:val="Paragrafoelenco"/>
        <w:tabs>
          <w:tab w:val="left" w:pos="360"/>
          <w:tab w:val="left" w:pos="426"/>
        </w:tabs>
        <w:spacing w:after="120"/>
        <w:ind w:left="862" w:hanging="357"/>
        <w:jc w:val="both"/>
        <w:rPr>
          <w:rFonts w:ascii="Arial" w:hAnsi="Arial" w:cs="Arial"/>
          <w:sz w:val="22"/>
          <w:szCs w:val="22"/>
        </w:rPr>
      </w:pPr>
      <w:r>
        <w:rPr>
          <w:rFonts w:ascii="Arial" w:hAnsi="Arial" w:cs="Arial"/>
          <w:sz w:val="22"/>
          <w:szCs w:val="22"/>
        </w:rPr>
        <w:t>f)</w:t>
      </w:r>
      <w:r>
        <w:rPr>
          <w:rFonts w:ascii="Arial" w:hAnsi="Arial" w:cs="Arial"/>
          <w:sz w:val="22"/>
          <w:szCs w:val="22"/>
        </w:rPr>
        <w:tab/>
        <w:t xml:space="preserve"> il prospetto delle spese previste per lo svolgimento delle funzioni delegate dalle regioni per ciascuno degli anni considerati nel bilancio di previsione; </w:t>
      </w:r>
    </w:p>
    <w:p w:rsidR="001811EC" w:rsidRDefault="001811EC">
      <w:pPr>
        <w:pStyle w:val="Paragrafoelenco"/>
        <w:tabs>
          <w:tab w:val="left" w:pos="360"/>
          <w:tab w:val="left" w:pos="426"/>
        </w:tabs>
        <w:spacing w:after="120"/>
        <w:ind w:left="862" w:hanging="357"/>
        <w:jc w:val="both"/>
        <w:rPr>
          <w:rFonts w:ascii="Arial" w:hAnsi="Arial" w:cs="Arial"/>
          <w:sz w:val="22"/>
          <w:szCs w:val="22"/>
        </w:rPr>
      </w:pPr>
    </w:p>
    <w:p w:rsidR="001811EC" w:rsidRDefault="002121F5">
      <w:pPr>
        <w:pStyle w:val="Paragrafoelenco"/>
        <w:tabs>
          <w:tab w:val="left" w:pos="360"/>
          <w:tab w:val="left" w:pos="426"/>
        </w:tabs>
        <w:spacing w:after="120"/>
        <w:ind w:left="862" w:hanging="357"/>
        <w:jc w:val="both"/>
        <w:rPr>
          <w:rFonts w:ascii="Arial" w:hAnsi="Arial" w:cs="Arial"/>
          <w:sz w:val="22"/>
          <w:szCs w:val="22"/>
        </w:rPr>
      </w:pPr>
      <w:r>
        <w:rPr>
          <w:rFonts w:ascii="Arial" w:hAnsi="Arial" w:cs="Arial"/>
          <w:sz w:val="22"/>
          <w:szCs w:val="22"/>
        </w:rPr>
        <w:t>g)</w:t>
      </w:r>
      <w:r>
        <w:rPr>
          <w:rFonts w:ascii="Arial" w:hAnsi="Arial" w:cs="Arial"/>
          <w:sz w:val="22"/>
          <w:szCs w:val="22"/>
        </w:rPr>
        <w:tab/>
        <w:t xml:space="preserve"> la nota integrativa redatta secondo le modalità previste dal comma 5 dell’</w:t>
      </w:r>
      <w:hyperlink r:id="rId26" w:history="1">
        <w:r>
          <w:rPr>
            <w:rStyle w:val="Collegamentoipertestuale"/>
            <w:rFonts w:ascii="Arial" w:hAnsi="Arial" w:cs="Arial"/>
            <w:sz w:val="22"/>
            <w:szCs w:val="22"/>
          </w:rPr>
          <w:t>art.11 del D.Lgs.118/2011</w:t>
        </w:r>
      </w:hyperlink>
      <w:r>
        <w:rPr>
          <w:rFonts w:ascii="Arial" w:hAnsi="Arial" w:cs="Arial"/>
          <w:sz w:val="22"/>
          <w:szCs w:val="22"/>
        </w:rPr>
        <w:t>;</w:t>
      </w:r>
    </w:p>
    <w:p w:rsidR="001811EC" w:rsidRDefault="002121F5">
      <w:pPr>
        <w:numPr>
          <w:ilvl w:val="0"/>
          <w:numId w:val="1"/>
        </w:numPr>
        <w:tabs>
          <w:tab w:val="left" w:pos="360"/>
          <w:tab w:val="left" w:pos="426"/>
        </w:tabs>
        <w:spacing w:after="120"/>
        <w:ind w:hanging="357"/>
        <w:jc w:val="both"/>
        <w:rPr>
          <w:rFonts w:ascii="Arial" w:hAnsi="Arial" w:cs="Arial"/>
          <w:b/>
          <w:sz w:val="22"/>
          <w:szCs w:val="22"/>
        </w:rPr>
      </w:pPr>
      <w:r>
        <w:rPr>
          <w:rFonts w:ascii="Arial" w:hAnsi="Arial" w:cs="Arial"/>
          <w:b/>
          <w:sz w:val="22"/>
          <w:szCs w:val="22"/>
        </w:rPr>
        <w:t xml:space="preserve">nel punto 9/3 del </w:t>
      </w:r>
      <w:hyperlink r:id="rId27" w:history="1">
        <w:r>
          <w:rPr>
            <w:rStyle w:val="Collegamentoipertestuale"/>
            <w:rFonts w:ascii="Arial" w:hAnsi="Arial" w:cs="Arial"/>
            <w:b/>
            <w:sz w:val="22"/>
            <w:szCs w:val="22"/>
          </w:rPr>
          <w:t>P.C. applicato allegato 4/1</w:t>
        </w:r>
      </w:hyperlink>
      <w:r>
        <w:rPr>
          <w:rFonts w:ascii="Arial" w:hAnsi="Arial" w:cs="Arial"/>
          <w:b/>
          <w:sz w:val="22"/>
          <w:szCs w:val="22"/>
        </w:rPr>
        <w:t xml:space="preserve"> al </w:t>
      </w:r>
      <w:hyperlink r:id="rId28" w:history="1">
        <w:proofErr w:type="spellStart"/>
        <w:r>
          <w:rPr>
            <w:rStyle w:val="Collegamentoipertestuale"/>
            <w:rFonts w:ascii="Arial" w:hAnsi="Arial" w:cs="Arial"/>
            <w:b/>
            <w:sz w:val="22"/>
            <w:szCs w:val="22"/>
          </w:rPr>
          <w:t>D.Lgs.</w:t>
        </w:r>
        <w:proofErr w:type="spellEnd"/>
        <w:r>
          <w:rPr>
            <w:rStyle w:val="Collegamentoipertestuale"/>
            <w:rFonts w:ascii="Arial" w:hAnsi="Arial" w:cs="Arial"/>
            <w:b/>
            <w:sz w:val="22"/>
            <w:szCs w:val="22"/>
          </w:rPr>
          <w:t xml:space="preserve"> n.118/2011</w:t>
        </w:r>
      </w:hyperlink>
      <w:r>
        <w:rPr>
          <w:rFonts w:ascii="Arial" w:hAnsi="Arial" w:cs="Arial"/>
          <w:b/>
          <w:sz w:val="22"/>
          <w:szCs w:val="22"/>
        </w:rPr>
        <w:t xml:space="preserve"> lettere g) ed h):</w:t>
      </w:r>
    </w:p>
    <w:p w:rsidR="001811EC" w:rsidRDefault="002121F5">
      <w:pPr>
        <w:pStyle w:val="Paragrafoelenco"/>
        <w:numPr>
          <w:ilvl w:val="0"/>
          <w:numId w:val="15"/>
        </w:numPr>
        <w:tabs>
          <w:tab w:val="left" w:pos="851"/>
        </w:tabs>
        <w:spacing w:after="120"/>
        <w:ind w:left="851"/>
        <w:jc w:val="both"/>
        <w:rPr>
          <w:rFonts w:ascii="Arial" w:hAnsi="Arial" w:cs="Arial"/>
          <w:sz w:val="22"/>
          <w:szCs w:val="22"/>
        </w:rPr>
      </w:pPr>
      <w:r>
        <w:rPr>
          <w:rFonts w:ascii="Arial" w:hAnsi="Arial" w:cs="Arial"/>
          <w:sz w:val="22"/>
          <w:szCs w:val="22"/>
        </w:rPr>
        <w:t>il rendiconto di gestione e il bilancio consolidato deliberati e relativi al penultimo esercizio antecedente quello cui si riferisce il bilancio di previsione, se non integralmente pubblicati nel sito internet dell’ente locale;</w:t>
      </w:r>
    </w:p>
    <w:p w:rsidR="001811EC" w:rsidRDefault="001811EC">
      <w:pPr>
        <w:pStyle w:val="Paragrafoelenco"/>
        <w:tabs>
          <w:tab w:val="left" w:pos="786"/>
          <w:tab w:val="left" w:pos="851"/>
        </w:tabs>
        <w:spacing w:after="120"/>
        <w:ind w:left="862" w:hanging="357"/>
        <w:jc w:val="both"/>
        <w:rPr>
          <w:rFonts w:ascii="Arial" w:hAnsi="Arial" w:cs="Arial"/>
          <w:sz w:val="22"/>
          <w:szCs w:val="22"/>
        </w:rPr>
      </w:pPr>
    </w:p>
    <w:p w:rsidR="001811EC" w:rsidRDefault="002121F5">
      <w:pPr>
        <w:pStyle w:val="Paragrafoelenco"/>
        <w:numPr>
          <w:ilvl w:val="0"/>
          <w:numId w:val="15"/>
        </w:numPr>
        <w:tabs>
          <w:tab w:val="left" w:pos="851"/>
        </w:tabs>
        <w:spacing w:after="120"/>
        <w:ind w:left="851"/>
        <w:jc w:val="both"/>
        <w:rPr>
          <w:rFonts w:ascii="Arial" w:hAnsi="Arial" w:cs="Arial"/>
          <w:sz w:val="22"/>
          <w:szCs w:val="22"/>
        </w:rPr>
      </w:pPr>
      <w:r>
        <w:rPr>
          <w:rFonts w:ascii="Arial" w:hAnsi="Arial" w:cs="Arial"/>
          <w:sz w:val="22"/>
          <w:szCs w:val="22"/>
        </w:rPr>
        <w:t xml:space="preserve">le risultanze dei rendiconti e dei bilanci consolidati delle unioni di comuni e dei soggetti considerate nel gruppo “amministrazione pubblica” di cui al principio applicato del bilancio consolidato allegato al </w:t>
      </w:r>
      <w:hyperlink r:id="rId29" w:history="1">
        <w:r>
          <w:rPr>
            <w:rStyle w:val="Collegamentoipertestuale"/>
            <w:rFonts w:ascii="Arial" w:hAnsi="Arial" w:cs="Arial"/>
            <w:sz w:val="22"/>
            <w:szCs w:val="22"/>
          </w:rPr>
          <w:t>decreto legislativo 23 giugno 2011, n. 118</w:t>
        </w:r>
      </w:hyperlink>
      <w:r>
        <w:rPr>
          <w:rFonts w:ascii="Arial" w:hAnsi="Arial" w:cs="Arial"/>
          <w:sz w:val="22"/>
          <w:szCs w:val="22"/>
        </w:rPr>
        <w:t xml:space="preserve"> e successive modificazioni e integrazioni, relativi al penultimo esercizio antecedente quello cui il bilancio si riferisce. Se tali documenti contabili sono integralmente pubblicati nei siti internet degli enti, ne è allegato  l’elenco con l’indicazione dei relativi siti web istituzionali;</w:t>
      </w:r>
    </w:p>
    <w:p w:rsidR="001811EC" w:rsidRDefault="002121F5">
      <w:pPr>
        <w:numPr>
          <w:ilvl w:val="0"/>
          <w:numId w:val="1"/>
        </w:numPr>
        <w:tabs>
          <w:tab w:val="left" w:pos="360"/>
          <w:tab w:val="left" w:pos="426"/>
        </w:tabs>
        <w:spacing w:after="120"/>
        <w:ind w:hanging="357"/>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nell’</w:t>
      </w:r>
      <w:hyperlink r:id="rId30" w:history="1">
        <w:r>
          <w:rPr>
            <w:rStyle w:val="Collegamentoipertestuale"/>
            <w:rFonts w:ascii="Arial" w:hAnsi="Arial" w:cs="Arial"/>
            <w:b/>
            <w:sz w:val="22"/>
            <w:szCs w:val="22"/>
          </w:rPr>
          <w:t>art.172 del D.Lgs.18/8/2000 n.267</w:t>
        </w:r>
      </w:hyperlink>
      <w:r>
        <w:rPr>
          <w:rFonts w:ascii="Arial" w:hAnsi="Arial" w:cs="Arial"/>
          <w:b/>
          <w:sz w:val="22"/>
          <w:szCs w:val="22"/>
        </w:rPr>
        <w:t>:</w:t>
      </w:r>
    </w:p>
    <w:p w:rsidR="001811EC" w:rsidRDefault="002121F5">
      <w:pPr>
        <w:pStyle w:val="Paragrafoelenco"/>
        <w:numPr>
          <w:ilvl w:val="0"/>
          <w:numId w:val="15"/>
        </w:numPr>
        <w:tabs>
          <w:tab w:val="left" w:pos="360"/>
          <w:tab w:val="left" w:pos="426"/>
        </w:tabs>
        <w:spacing w:after="120"/>
        <w:ind w:left="862" w:hanging="357"/>
        <w:jc w:val="both"/>
        <w:rPr>
          <w:rFonts w:ascii="Arial" w:hAnsi="Arial" w:cs="Arial"/>
          <w:sz w:val="22"/>
          <w:szCs w:val="22"/>
        </w:rPr>
      </w:pPr>
      <w:r>
        <w:rPr>
          <w:rFonts w:ascii="Arial" w:hAnsi="Arial" w:cs="Arial"/>
          <w:sz w:val="22"/>
          <w:szCs w:val="22"/>
        </w:rPr>
        <w:t xml:space="preserve">la deliberazione, da adottarsi annualmente prima dell'approvazione del bilancio, con la quale i comuni verificano la quantità e qualità di aree e fabbricati da destinarsi alla residenza, alle attività produttive e terziarie - ai sensi delle </w:t>
      </w:r>
      <w:hyperlink r:id="rId31" w:history="1">
        <w:r>
          <w:rPr>
            <w:rStyle w:val="Collegamentoipertestuale"/>
            <w:rFonts w:ascii="Arial" w:hAnsi="Arial" w:cs="Arial"/>
            <w:sz w:val="22"/>
            <w:szCs w:val="22"/>
          </w:rPr>
          <w:t>leggi 18 aprile 1962, n. 167</w:t>
        </w:r>
      </w:hyperlink>
      <w:r>
        <w:rPr>
          <w:rFonts w:ascii="Arial" w:hAnsi="Arial" w:cs="Arial"/>
          <w:sz w:val="22"/>
          <w:szCs w:val="22"/>
        </w:rPr>
        <w:t xml:space="preserve">, </w:t>
      </w:r>
      <w:hyperlink r:id="rId32" w:history="1">
        <w:r>
          <w:rPr>
            <w:rStyle w:val="Collegamentoipertestuale"/>
            <w:rFonts w:ascii="Arial" w:hAnsi="Arial" w:cs="Arial"/>
            <w:sz w:val="22"/>
            <w:szCs w:val="22"/>
          </w:rPr>
          <w:t>22 ottobre 1971, n. 865</w:t>
        </w:r>
      </w:hyperlink>
      <w:r>
        <w:rPr>
          <w:rFonts w:ascii="Arial" w:hAnsi="Arial" w:cs="Arial"/>
          <w:sz w:val="22"/>
          <w:szCs w:val="22"/>
        </w:rPr>
        <w:t xml:space="preserve">, e </w:t>
      </w:r>
      <w:hyperlink r:id="rId33" w:history="1">
        <w:r>
          <w:rPr>
            <w:rStyle w:val="Collegamentoipertestuale"/>
            <w:rFonts w:ascii="Arial" w:hAnsi="Arial" w:cs="Arial"/>
            <w:sz w:val="22"/>
            <w:szCs w:val="22"/>
          </w:rPr>
          <w:t>5 agosto 1978, n. 457</w:t>
        </w:r>
      </w:hyperlink>
      <w:r>
        <w:rPr>
          <w:rFonts w:ascii="Arial" w:hAnsi="Arial" w:cs="Arial"/>
          <w:sz w:val="22"/>
          <w:szCs w:val="22"/>
        </w:rPr>
        <w:t xml:space="preserve">, che potranno essere ceduti in proprietà od in diritto di superficie; con la stessa deliberazione i comuni stabiliscono il prezzo di cessione per ciascun tipo di area o di fabbricato; </w:t>
      </w:r>
    </w:p>
    <w:p w:rsidR="001811EC" w:rsidRDefault="001811EC">
      <w:pPr>
        <w:pStyle w:val="Paragrafoelenco"/>
        <w:tabs>
          <w:tab w:val="left" w:pos="360"/>
          <w:tab w:val="left" w:pos="426"/>
        </w:tabs>
        <w:spacing w:after="120"/>
        <w:ind w:left="862"/>
        <w:jc w:val="both"/>
        <w:rPr>
          <w:rFonts w:ascii="Arial" w:hAnsi="Arial" w:cs="Arial"/>
          <w:sz w:val="22"/>
          <w:szCs w:val="22"/>
        </w:rPr>
      </w:pPr>
    </w:p>
    <w:p w:rsidR="001811EC" w:rsidRDefault="002121F5">
      <w:pPr>
        <w:pStyle w:val="Paragrafoelenco"/>
        <w:numPr>
          <w:ilvl w:val="0"/>
          <w:numId w:val="15"/>
        </w:numPr>
        <w:tabs>
          <w:tab w:val="left" w:pos="360"/>
          <w:tab w:val="left" w:pos="426"/>
        </w:tabs>
        <w:spacing w:after="120"/>
        <w:ind w:left="862" w:hanging="357"/>
        <w:jc w:val="both"/>
        <w:rPr>
          <w:rFonts w:ascii="Arial" w:hAnsi="Arial" w:cs="Arial"/>
          <w:sz w:val="22"/>
          <w:szCs w:val="22"/>
        </w:rPr>
      </w:pPr>
      <w:r>
        <w:rPr>
          <w:rFonts w:ascii="Arial" w:hAnsi="Arial" w:cs="Arial"/>
          <w:sz w:val="22"/>
          <w:szCs w:val="22"/>
        </w:rPr>
        <w:lastRenderedPageBreak/>
        <w:t xml:space="preserve">le deliberazioni con le quali sono determinati, per l'esercizio successivo, le tariffe, le aliquote d'imposta e le eventuali maggiori detrazioni, le variazioni dei limiti di reddito per i tributi locali e per i servizi locali, nonché, per i servizi a domanda individuale, i tassi di copertura in percentuale del costo di gestione dei servizi stessi. </w:t>
      </w:r>
    </w:p>
    <w:p w:rsidR="001811EC" w:rsidRDefault="002121F5">
      <w:pPr>
        <w:numPr>
          <w:ilvl w:val="0"/>
          <w:numId w:val="15"/>
        </w:numPr>
        <w:tabs>
          <w:tab w:val="left" w:pos="360"/>
          <w:tab w:val="left" w:pos="426"/>
        </w:tabs>
        <w:spacing w:after="120"/>
        <w:ind w:left="862" w:hanging="357"/>
        <w:jc w:val="both"/>
        <w:rPr>
          <w:rFonts w:ascii="Arial" w:hAnsi="Arial" w:cs="Arial"/>
          <w:sz w:val="22"/>
          <w:szCs w:val="22"/>
        </w:rPr>
      </w:pPr>
      <w:r>
        <w:rPr>
          <w:rFonts w:ascii="Arial" w:hAnsi="Arial" w:cs="Arial"/>
          <w:sz w:val="22"/>
          <w:szCs w:val="22"/>
        </w:rPr>
        <w:t xml:space="preserve">la tabella relativa ai parametri di riscontro della situazione di </w:t>
      </w:r>
      <w:proofErr w:type="spellStart"/>
      <w:r>
        <w:rPr>
          <w:rFonts w:ascii="Arial" w:hAnsi="Arial" w:cs="Arial"/>
          <w:sz w:val="22"/>
          <w:szCs w:val="22"/>
        </w:rPr>
        <w:t>deficitarietà</w:t>
      </w:r>
      <w:proofErr w:type="spellEnd"/>
      <w:r>
        <w:rPr>
          <w:rFonts w:ascii="Arial" w:hAnsi="Arial" w:cs="Arial"/>
          <w:sz w:val="22"/>
          <w:szCs w:val="22"/>
        </w:rPr>
        <w:t xml:space="preserve"> strutturale prevista dalle disposizioni vigenti in materia (</w:t>
      </w:r>
      <w:hyperlink r:id="rId34" w:history="1">
        <w:r>
          <w:rPr>
            <w:rStyle w:val="Collegamentoipertestuale"/>
            <w:rFonts w:ascii="Arial" w:hAnsi="Arial" w:cs="Arial"/>
            <w:sz w:val="22"/>
            <w:szCs w:val="22"/>
          </w:rPr>
          <w:t>D.M. 18/2/2013</w:t>
        </w:r>
      </w:hyperlink>
      <w:r>
        <w:rPr>
          <w:rFonts w:ascii="Arial" w:hAnsi="Arial" w:cs="Arial"/>
          <w:sz w:val="22"/>
          <w:szCs w:val="22"/>
        </w:rPr>
        <w:t xml:space="preserve">); </w:t>
      </w:r>
    </w:p>
    <w:p w:rsidR="001811EC" w:rsidRDefault="002121F5">
      <w:pPr>
        <w:numPr>
          <w:ilvl w:val="0"/>
          <w:numId w:val="15"/>
        </w:numPr>
        <w:tabs>
          <w:tab w:val="left" w:pos="360"/>
          <w:tab w:val="left" w:pos="426"/>
        </w:tabs>
        <w:spacing w:after="120"/>
        <w:ind w:left="862" w:hanging="357"/>
        <w:jc w:val="both"/>
        <w:rPr>
          <w:rFonts w:ascii="Arial" w:hAnsi="Arial" w:cs="Arial"/>
          <w:sz w:val="22"/>
          <w:szCs w:val="22"/>
        </w:rPr>
      </w:pPr>
      <w:r>
        <w:rPr>
          <w:rFonts w:ascii="Arial" w:hAnsi="Arial" w:cs="Arial"/>
          <w:sz w:val="22"/>
          <w:szCs w:val="22"/>
        </w:rPr>
        <w:t>il prospetto della concordanza tra bilancio di previsione e rispetto del saldo di finanza pubblica (pareggio di bilancio);</w:t>
      </w:r>
    </w:p>
    <w:p w:rsidR="00B15A43" w:rsidRPr="00A608DA" w:rsidRDefault="00B15A43" w:rsidP="00274DEB">
      <w:pPr>
        <w:pStyle w:val="Paragrafoelenco"/>
        <w:numPr>
          <w:ilvl w:val="0"/>
          <w:numId w:val="10"/>
        </w:numPr>
        <w:tabs>
          <w:tab w:val="left" w:pos="360"/>
          <w:tab w:val="left" w:pos="426"/>
        </w:tabs>
        <w:spacing w:after="120"/>
        <w:jc w:val="both"/>
        <w:rPr>
          <w:rFonts w:ascii="Arial" w:hAnsi="Arial" w:cs="Arial"/>
          <w:sz w:val="22"/>
          <w:szCs w:val="22"/>
        </w:rPr>
      </w:pPr>
      <w:r w:rsidRPr="00A608DA">
        <w:rPr>
          <w:rFonts w:ascii="Arial" w:hAnsi="Arial" w:cs="Arial"/>
          <w:sz w:val="22"/>
          <w:szCs w:val="22"/>
        </w:rPr>
        <w:t xml:space="preserve">nel </w:t>
      </w:r>
      <w:hyperlink r:id="rId35" w:history="1">
        <w:r w:rsidRPr="00A608DA">
          <w:rPr>
            <w:rStyle w:val="Collegamentoipertestuale"/>
            <w:rFonts w:ascii="Arial" w:hAnsi="Arial" w:cs="Arial"/>
            <w:sz w:val="22"/>
            <w:szCs w:val="22"/>
          </w:rPr>
          <w:t>D.M. del 9/12/2015</w:t>
        </w:r>
      </w:hyperlink>
      <w:r w:rsidR="00274DEB" w:rsidRPr="00A608DA">
        <w:rPr>
          <w:rFonts w:ascii="Arial" w:hAnsi="Arial" w:cs="Arial"/>
          <w:sz w:val="22"/>
          <w:szCs w:val="22"/>
        </w:rPr>
        <w:t xml:space="preserve">, </w:t>
      </w:r>
      <w:r w:rsidRPr="00A608DA">
        <w:rPr>
          <w:rFonts w:ascii="Arial" w:hAnsi="Arial" w:cs="Arial"/>
          <w:sz w:val="22"/>
          <w:szCs w:val="22"/>
        </w:rPr>
        <w:t>piano degli indicatori</w:t>
      </w:r>
      <w:r w:rsidR="00B27232" w:rsidRPr="00A608DA">
        <w:rPr>
          <w:rFonts w:ascii="Arial" w:hAnsi="Arial" w:cs="Arial"/>
          <w:sz w:val="22"/>
          <w:szCs w:val="22"/>
        </w:rPr>
        <w:t xml:space="preserve"> e dei risultati attesi di bilancio secondo gli schemi di cui all’</w:t>
      </w:r>
      <w:hyperlink r:id="rId36" w:history="1">
        <w:r w:rsidR="00B27232" w:rsidRPr="00A608DA">
          <w:rPr>
            <w:rStyle w:val="Collegamentoipertestuale"/>
            <w:rFonts w:ascii="Arial" w:hAnsi="Arial" w:cs="Arial"/>
            <w:sz w:val="22"/>
            <w:szCs w:val="22"/>
          </w:rPr>
          <w:t>allegato 1</w:t>
        </w:r>
      </w:hyperlink>
      <w:r w:rsidR="00B27232" w:rsidRPr="00A608DA">
        <w:rPr>
          <w:rFonts w:ascii="Arial" w:hAnsi="Arial" w:cs="Arial"/>
          <w:sz w:val="22"/>
          <w:szCs w:val="22"/>
        </w:rPr>
        <w:t>,  del decreto;</w:t>
      </w:r>
    </w:p>
    <w:p w:rsidR="001811EC" w:rsidRDefault="002121F5">
      <w:pPr>
        <w:numPr>
          <w:ilvl w:val="0"/>
          <w:numId w:val="1"/>
        </w:numPr>
        <w:tabs>
          <w:tab w:val="left" w:pos="360"/>
          <w:tab w:val="left" w:pos="426"/>
        </w:tabs>
        <w:spacing w:after="120"/>
        <w:ind w:hanging="357"/>
        <w:jc w:val="both"/>
        <w:rPr>
          <w:rFonts w:ascii="Arial" w:hAnsi="Arial" w:cs="Arial"/>
          <w:sz w:val="22"/>
          <w:szCs w:val="22"/>
        </w:rPr>
      </w:pPr>
      <w:r>
        <w:rPr>
          <w:rFonts w:ascii="Arial" w:hAnsi="Arial" w:cs="Arial"/>
          <w:sz w:val="22"/>
          <w:szCs w:val="22"/>
        </w:rPr>
        <w:t>necessari per l’espressione del parere:</w:t>
      </w:r>
    </w:p>
    <w:p w:rsidR="001811EC" w:rsidRDefault="002121F5">
      <w:pPr>
        <w:pStyle w:val="Paragrafoelenco"/>
        <w:numPr>
          <w:ilvl w:val="0"/>
          <w:numId w:val="15"/>
        </w:numPr>
        <w:tabs>
          <w:tab w:val="left" w:pos="786"/>
          <w:tab w:val="left" w:pos="851"/>
        </w:tabs>
        <w:spacing w:after="120"/>
        <w:ind w:left="862" w:hanging="357"/>
        <w:jc w:val="both"/>
        <w:rPr>
          <w:rFonts w:ascii="Arial" w:hAnsi="Arial" w:cs="Arial"/>
          <w:sz w:val="22"/>
          <w:szCs w:val="22"/>
        </w:rPr>
      </w:pPr>
      <w:r>
        <w:rPr>
          <w:rFonts w:ascii="Arial" w:hAnsi="Arial" w:cs="Arial"/>
          <w:sz w:val="22"/>
          <w:szCs w:val="22"/>
        </w:rPr>
        <w:t xml:space="preserve">il documento unico di programmazione (DUP) e la nota di aggiornamento dello stesso predisposti conformemente </w:t>
      </w:r>
      <w:hyperlink r:id="rId37" w:history="1">
        <w:r>
          <w:rPr>
            <w:rStyle w:val="Collegamentoipertestuale"/>
            <w:rFonts w:ascii="Arial" w:hAnsi="Arial" w:cs="Arial"/>
            <w:sz w:val="22"/>
            <w:szCs w:val="22"/>
          </w:rPr>
          <w:t>all’art.170 del D.Lgs.267/2000</w:t>
        </w:r>
      </w:hyperlink>
      <w:r>
        <w:rPr>
          <w:rFonts w:ascii="Arial" w:hAnsi="Arial" w:cs="Arial"/>
          <w:sz w:val="22"/>
          <w:szCs w:val="22"/>
        </w:rPr>
        <w:t xml:space="preserve"> dalla Giunta;</w:t>
      </w:r>
    </w:p>
    <w:p w:rsidR="001811EC" w:rsidRDefault="002121F5">
      <w:pPr>
        <w:pStyle w:val="Corpodeltesto21"/>
        <w:numPr>
          <w:ilvl w:val="0"/>
          <w:numId w:val="15"/>
        </w:numPr>
        <w:tabs>
          <w:tab w:val="left" w:pos="786"/>
        </w:tabs>
        <w:ind w:left="862" w:hanging="357"/>
        <w:rPr>
          <w:rFonts w:cs="Arial"/>
          <w:b w:val="0"/>
          <w:i w:val="0"/>
          <w:sz w:val="22"/>
          <w:szCs w:val="22"/>
        </w:rPr>
      </w:pPr>
      <w:r>
        <w:rPr>
          <w:rFonts w:cs="Arial"/>
          <w:b w:val="0"/>
          <w:sz w:val="22"/>
          <w:szCs w:val="22"/>
        </w:rPr>
        <w:t xml:space="preserve">(se non contenuto nel DUP) </w:t>
      </w:r>
      <w:r>
        <w:rPr>
          <w:rFonts w:cs="Arial"/>
          <w:b w:val="0"/>
          <w:i w:val="0"/>
          <w:sz w:val="22"/>
          <w:szCs w:val="22"/>
        </w:rPr>
        <w:t>il programma triennale dei lavori pubblici e l’elenco annuale dei lavori pubblici di cui all’</w:t>
      </w:r>
      <w:hyperlink r:id="rId38" w:history="1">
        <w:r>
          <w:rPr>
            <w:rStyle w:val="Collegamentoipertestuale"/>
            <w:rFonts w:cs="Arial"/>
            <w:b w:val="0"/>
            <w:i w:val="0"/>
            <w:sz w:val="22"/>
            <w:szCs w:val="22"/>
          </w:rPr>
          <w:t xml:space="preserve">articolo 128 del </w:t>
        </w:r>
        <w:proofErr w:type="spellStart"/>
        <w:r>
          <w:rPr>
            <w:rStyle w:val="Collegamentoipertestuale"/>
            <w:rFonts w:cs="Arial"/>
            <w:b w:val="0"/>
            <w:i w:val="0"/>
            <w:sz w:val="22"/>
            <w:szCs w:val="22"/>
          </w:rPr>
          <w:t>D.Lgs.</w:t>
        </w:r>
        <w:proofErr w:type="spellEnd"/>
        <w:r>
          <w:rPr>
            <w:rStyle w:val="Collegamentoipertestuale"/>
            <w:rFonts w:cs="Arial"/>
            <w:b w:val="0"/>
            <w:i w:val="0"/>
            <w:sz w:val="22"/>
            <w:szCs w:val="22"/>
          </w:rPr>
          <w:t xml:space="preserve"> 163/2006</w:t>
        </w:r>
      </w:hyperlink>
      <w:r>
        <w:rPr>
          <w:rFonts w:cs="Arial"/>
          <w:b w:val="0"/>
          <w:i w:val="0"/>
          <w:sz w:val="22"/>
          <w:szCs w:val="22"/>
        </w:rPr>
        <w:t>;</w:t>
      </w:r>
    </w:p>
    <w:p w:rsidR="001811EC" w:rsidRDefault="002121F5">
      <w:pPr>
        <w:pStyle w:val="Corpotesto"/>
        <w:numPr>
          <w:ilvl w:val="0"/>
          <w:numId w:val="15"/>
        </w:numPr>
        <w:ind w:left="862" w:hanging="357"/>
        <w:rPr>
          <w:rFonts w:cs="Arial"/>
          <w:sz w:val="22"/>
          <w:szCs w:val="22"/>
        </w:rPr>
      </w:pPr>
      <w:r>
        <w:rPr>
          <w:rFonts w:cs="Arial"/>
          <w:i/>
          <w:sz w:val="22"/>
          <w:szCs w:val="22"/>
        </w:rPr>
        <w:t xml:space="preserve">(se non contenuta nel DUP) </w:t>
      </w:r>
      <w:r>
        <w:rPr>
          <w:rFonts w:cs="Arial"/>
          <w:sz w:val="22"/>
          <w:szCs w:val="22"/>
        </w:rPr>
        <w:t>la delibera di approvazione della programmazione triennale del fabbisogno di personale (</w:t>
      </w:r>
      <w:hyperlink r:id="rId39" w:history="1">
        <w:r>
          <w:rPr>
            <w:rStyle w:val="Collegamentoipertestuale"/>
            <w:rFonts w:cs="Arial"/>
            <w:sz w:val="22"/>
            <w:szCs w:val="22"/>
          </w:rPr>
          <w:t xml:space="preserve">art. 91 </w:t>
        </w:r>
        <w:proofErr w:type="spellStart"/>
        <w:r>
          <w:rPr>
            <w:rStyle w:val="Collegamentoipertestuale"/>
            <w:rFonts w:cs="Arial"/>
            <w:sz w:val="22"/>
            <w:szCs w:val="22"/>
          </w:rPr>
          <w:t>D.Lgs.</w:t>
        </w:r>
        <w:proofErr w:type="spellEnd"/>
        <w:r>
          <w:rPr>
            <w:rStyle w:val="Collegamentoipertestuale"/>
            <w:rFonts w:cs="Arial"/>
            <w:sz w:val="22"/>
            <w:szCs w:val="22"/>
          </w:rPr>
          <w:t xml:space="preserve"> 267/2000</w:t>
        </w:r>
      </w:hyperlink>
      <w:r>
        <w:rPr>
          <w:rFonts w:cs="Arial"/>
          <w:sz w:val="22"/>
          <w:szCs w:val="22"/>
        </w:rPr>
        <w:t xml:space="preserve"> - </w:t>
      </w:r>
      <w:hyperlink r:id="rId40" w:history="1">
        <w:r>
          <w:rPr>
            <w:rFonts w:cs="Arial"/>
            <w:sz w:val="22"/>
            <w:szCs w:val="22"/>
          </w:rPr>
          <w:t>TUEL</w:t>
        </w:r>
      </w:hyperlink>
      <w:r>
        <w:rPr>
          <w:rFonts w:cs="Arial"/>
          <w:sz w:val="22"/>
          <w:szCs w:val="22"/>
        </w:rPr>
        <w:t xml:space="preserve">, </w:t>
      </w:r>
      <w:hyperlink r:id="rId41" w:history="1">
        <w:r>
          <w:rPr>
            <w:rStyle w:val="Collegamentoipertestuale"/>
            <w:rFonts w:cs="Arial"/>
            <w:sz w:val="22"/>
            <w:szCs w:val="22"/>
          </w:rPr>
          <w:t xml:space="preserve">art. 35, comma 4 </w:t>
        </w:r>
        <w:proofErr w:type="spellStart"/>
        <w:r>
          <w:rPr>
            <w:rStyle w:val="Collegamentoipertestuale"/>
            <w:rFonts w:cs="Arial"/>
            <w:sz w:val="22"/>
            <w:szCs w:val="22"/>
          </w:rPr>
          <w:t>D.Lgs.</w:t>
        </w:r>
        <w:proofErr w:type="spellEnd"/>
        <w:r>
          <w:rPr>
            <w:rStyle w:val="Collegamentoipertestuale"/>
            <w:rFonts w:cs="Arial"/>
            <w:sz w:val="22"/>
            <w:szCs w:val="22"/>
          </w:rPr>
          <w:t xml:space="preserve"> 165/2001</w:t>
        </w:r>
      </w:hyperlink>
      <w:r>
        <w:rPr>
          <w:rFonts w:cs="Arial"/>
          <w:sz w:val="22"/>
          <w:szCs w:val="22"/>
        </w:rPr>
        <w:t xml:space="preserve"> e </w:t>
      </w:r>
      <w:hyperlink r:id="rId42" w:history="1">
        <w:r>
          <w:rPr>
            <w:rStyle w:val="Collegamentoipertestuale"/>
            <w:rFonts w:cs="Arial"/>
            <w:sz w:val="22"/>
            <w:szCs w:val="22"/>
          </w:rPr>
          <w:t>art. 19, comma 8, Legge 448/2001</w:t>
        </w:r>
      </w:hyperlink>
      <w:r>
        <w:rPr>
          <w:rFonts w:cs="Arial"/>
          <w:sz w:val="22"/>
          <w:szCs w:val="22"/>
        </w:rPr>
        <w:t>);</w:t>
      </w:r>
    </w:p>
    <w:p w:rsidR="001811EC" w:rsidRDefault="002121F5">
      <w:pPr>
        <w:pStyle w:val="Corpodeltesto21"/>
        <w:numPr>
          <w:ilvl w:val="0"/>
          <w:numId w:val="15"/>
        </w:numPr>
        <w:tabs>
          <w:tab w:val="left" w:pos="786"/>
        </w:tabs>
        <w:ind w:left="862" w:hanging="357"/>
        <w:rPr>
          <w:rFonts w:cs="Arial"/>
          <w:b w:val="0"/>
          <w:i w:val="0"/>
          <w:sz w:val="22"/>
          <w:szCs w:val="22"/>
        </w:rPr>
      </w:pPr>
      <w:r>
        <w:rPr>
          <w:rFonts w:cs="Arial"/>
          <w:b w:val="0"/>
          <w:i w:val="0"/>
          <w:sz w:val="22"/>
          <w:szCs w:val="22"/>
        </w:rPr>
        <w:t>la delibera di Giunta di destinazione della parte vincolata dei proventi per sanzioni alle norme del codice della strada;</w:t>
      </w:r>
    </w:p>
    <w:p w:rsidR="001811EC" w:rsidRDefault="002121F5">
      <w:pPr>
        <w:numPr>
          <w:ilvl w:val="0"/>
          <w:numId w:val="15"/>
        </w:numPr>
        <w:tabs>
          <w:tab w:val="left" w:pos="786"/>
          <w:tab w:val="left" w:pos="851"/>
        </w:tabs>
        <w:spacing w:after="120"/>
        <w:ind w:left="862" w:hanging="357"/>
        <w:jc w:val="both"/>
        <w:rPr>
          <w:rFonts w:ascii="Arial" w:hAnsi="Arial" w:cs="Arial"/>
          <w:sz w:val="22"/>
          <w:szCs w:val="22"/>
        </w:rPr>
      </w:pPr>
      <w:r>
        <w:rPr>
          <w:rFonts w:ascii="Arial" w:hAnsi="Arial" w:cs="Arial"/>
          <w:sz w:val="22"/>
          <w:szCs w:val="22"/>
        </w:rPr>
        <w:t xml:space="preserve">la proposta delibera del Consiglio di conferma o variazione delle aliquote e tariffe per i tributi locali; </w:t>
      </w:r>
    </w:p>
    <w:p w:rsidR="001811EC" w:rsidRDefault="002121F5">
      <w:pPr>
        <w:pStyle w:val="Corpodeltesto21"/>
        <w:numPr>
          <w:ilvl w:val="0"/>
          <w:numId w:val="15"/>
        </w:numPr>
        <w:tabs>
          <w:tab w:val="left" w:pos="786"/>
        </w:tabs>
        <w:ind w:left="862" w:hanging="357"/>
        <w:rPr>
          <w:rFonts w:cs="Arial"/>
          <w:b w:val="0"/>
          <w:i w:val="0"/>
          <w:sz w:val="22"/>
          <w:szCs w:val="22"/>
        </w:rPr>
      </w:pPr>
      <w:r>
        <w:rPr>
          <w:rFonts w:cs="Arial"/>
          <w:b w:val="0"/>
          <w:sz w:val="22"/>
          <w:szCs w:val="22"/>
        </w:rPr>
        <w:t xml:space="preserve">(se non contenuto nel DUP) il  </w:t>
      </w:r>
      <w:r>
        <w:rPr>
          <w:rFonts w:cs="Arial"/>
          <w:b w:val="0"/>
          <w:i w:val="0"/>
          <w:sz w:val="22"/>
          <w:szCs w:val="22"/>
        </w:rPr>
        <w:t xml:space="preserve">piano triennale di contenimento delle spese di cui </w:t>
      </w:r>
      <w:hyperlink r:id="rId43" w:history="1">
        <w:r>
          <w:rPr>
            <w:rStyle w:val="Collegamentoipertestuale"/>
            <w:rFonts w:cs="Arial"/>
            <w:b w:val="0"/>
            <w:i w:val="0"/>
            <w:sz w:val="22"/>
            <w:szCs w:val="22"/>
          </w:rPr>
          <w:t>all’art. 2 commi 594 e 599 Legge 244/2007</w:t>
        </w:r>
      </w:hyperlink>
      <w:r>
        <w:rPr>
          <w:rFonts w:cs="Arial"/>
          <w:b w:val="0"/>
          <w:i w:val="0"/>
          <w:sz w:val="22"/>
          <w:szCs w:val="22"/>
        </w:rPr>
        <w:t>;</w:t>
      </w:r>
    </w:p>
    <w:p w:rsidR="001811EC" w:rsidRPr="009D4BFF" w:rsidRDefault="002121F5">
      <w:pPr>
        <w:pStyle w:val="Corpodeltesto21"/>
        <w:numPr>
          <w:ilvl w:val="0"/>
          <w:numId w:val="15"/>
        </w:numPr>
        <w:tabs>
          <w:tab w:val="left" w:pos="786"/>
        </w:tabs>
        <w:ind w:left="862" w:hanging="357"/>
        <w:rPr>
          <w:rFonts w:cs="Arial"/>
          <w:b w:val="0"/>
          <w:i w:val="0"/>
          <w:sz w:val="22"/>
          <w:szCs w:val="22"/>
          <w:highlight w:val="yellow"/>
        </w:rPr>
      </w:pPr>
      <w:r w:rsidRPr="009D4BFF">
        <w:rPr>
          <w:rFonts w:cs="Arial"/>
          <w:b w:val="0"/>
          <w:sz w:val="22"/>
          <w:szCs w:val="22"/>
          <w:highlight w:val="yellow"/>
        </w:rPr>
        <w:t xml:space="preserve">(se non contenuto nel DUP) </w:t>
      </w:r>
      <w:r w:rsidRPr="009D4BFF">
        <w:rPr>
          <w:rFonts w:cs="Arial"/>
          <w:b w:val="0"/>
          <w:i w:val="0"/>
          <w:sz w:val="22"/>
          <w:szCs w:val="22"/>
          <w:highlight w:val="yellow"/>
        </w:rPr>
        <w:t>il piano delle alienazioni e valorizzazioni immobiliari (</w:t>
      </w:r>
      <w:hyperlink r:id="rId44" w:history="1">
        <w:r w:rsidRPr="009D4BFF">
          <w:rPr>
            <w:rStyle w:val="Collegamentoipertestuale"/>
            <w:rFonts w:cs="Arial"/>
            <w:b w:val="0"/>
            <w:i w:val="0"/>
            <w:sz w:val="22"/>
            <w:szCs w:val="22"/>
            <w:highlight w:val="yellow"/>
          </w:rPr>
          <w:t>art.58,comma 1 D.L.112/2008</w:t>
        </w:r>
      </w:hyperlink>
      <w:r w:rsidRPr="009D4BFF">
        <w:rPr>
          <w:rFonts w:cs="Arial"/>
          <w:b w:val="0"/>
          <w:i w:val="0"/>
          <w:sz w:val="22"/>
          <w:szCs w:val="22"/>
          <w:highlight w:val="yellow"/>
        </w:rPr>
        <w:t>);</w:t>
      </w:r>
    </w:p>
    <w:p w:rsidR="001811EC" w:rsidRDefault="002121F5">
      <w:pPr>
        <w:pStyle w:val="Corpodeltesto21"/>
        <w:numPr>
          <w:ilvl w:val="0"/>
          <w:numId w:val="15"/>
        </w:numPr>
        <w:tabs>
          <w:tab w:val="left" w:pos="786"/>
        </w:tabs>
        <w:ind w:left="862" w:hanging="357"/>
        <w:rPr>
          <w:rFonts w:cs="Arial"/>
          <w:b w:val="0"/>
          <w:sz w:val="22"/>
          <w:szCs w:val="22"/>
        </w:rPr>
      </w:pPr>
      <w:r>
        <w:rPr>
          <w:rFonts w:cs="Arial"/>
          <w:b w:val="0"/>
          <w:i w:val="0"/>
          <w:sz w:val="22"/>
          <w:szCs w:val="22"/>
        </w:rPr>
        <w:t xml:space="preserve">Il programma delle collaborazioni autonome di cui </w:t>
      </w:r>
      <w:hyperlink r:id="rId45" w:history="1">
        <w:r>
          <w:rPr>
            <w:rStyle w:val="Collegamentoipertestuale"/>
            <w:rFonts w:cs="Arial"/>
            <w:b w:val="0"/>
            <w:i w:val="0"/>
            <w:sz w:val="22"/>
            <w:szCs w:val="22"/>
          </w:rPr>
          <w:t>all’art. 46, Decreto Legge n.112</w:t>
        </w:r>
      </w:hyperlink>
      <w:r>
        <w:rPr>
          <w:rFonts w:cs="Arial"/>
          <w:b w:val="0"/>
          <w:i w:val="0"/>
          <w:sz w:val="22"/>
          <w:szCs w:val="22"/>
        </w:rPr>
        <w:t xml:space="preserve"> del 25/06/2008;</w:t>
      </w:r>
    </w:p>
    <w:p w:rsidR="001811EC" w:rsidRDefault="002121F5">
      <w:pPr>
        <w:pStyle w:val="Corpodeltesto21"/>
        <w:numPr>
          <w:ilvl w:val="0"/>
          <w:numId w:val="15"/>
        </w:numPr>
        <w:tabs>
          <w:tab w:val="left" w:pos="786"/>
        </w:tabs>
        <w:ind w:left="862" w:hanging="357"/>
        <w:rPr>
          <w:rFonts w:cs="Arial"/>
          <w:b w:val="0"/>
          <w:sz w:val="22"/>
          <w:szCs w:val="22"/>
        </w:rPr>
      </w:pPr>
      <w:r>
        <w:rPr>
          <w:rFonts w:cs="Arial"/>
          <w:b w:val="0"/>
          <w:i w:val="0"/>
          <w:sz w:val="22"/>
          <w:szCs w:val="22"/>
        </w:rPr>
        <w:t xml:space="preserve">Il limite massimo delle spese per incarichi di collaborazione </w:t>
      </w:r>
      <w:hyperlink r:id="rId46" w:history="1">
        <w:r>
          <w:rPr>
            <w:rStyle w:val="Collegamentoipertestuale"/>
            <w:rFonts w:cs="Arial"/>
            <w:b w:val="0"/>
            <w:i w:val="0"/>
            <w:sz w:val="22"/>
            <w:szCs w:val="22"/>
          </w:rPr>
          <w:t>art. 46, comma 3, Decreto Legge n. 112</w:t>
        </w:r>
      </w:hyperlink>
      <w:r>
        <w:rPr>
          <w:rFonts w:cs="Arial"/>
          <w:b w:val="0"/>
          <w:i w:val="0"/>
          <w:sz w:val="22"/>
          <w:szCs w:val="22"/>
        </w:rPr>
        <w:t xml:space="preserve"> del 25/06/2008;</w:t>
      </w:r>
    </w:p>
    <w:p w:rsidR="001811EC" w:rsidRDefault="002121F5">
      <w:pPr>
        <w:pStyle w:val="Corpodeltesto21"/>
        <w:numPr>
          <w:ilvl w:val="0"/>
          <w:numId w:val="15"/>
        </w:numPr>
        <w:tabs>
          <w:tab w:val="left" w:pos="786"/>
        </w:tabs>
        <w:ind w:left="862" w:hanging="357"/>
        <w:rPr>
          <w:rFonts w:cs="Arial"/>
          <w:b w:val="0"/>
          <w:i w:val="0"/>
          <w:sz w:val="22"/>
          <w:szCs w:val="22"/>
        </w:rPr>
      </w:pPr>
      <w:r>
        <w:rPr>
          <w:rFonts w:cs="Arial"/>
          <w:b w:val="0"/>
          <w:i w:val="0"/>
          <w:sz w:val="22"/>
          <w:szCs w:val="22"/>
        </w:rPr>
        <w:t>Il limite massimo delle spese per personale a tempo determinato, con convenzione e con collaborazioni coordinate e continuative (</w:t>
      </w:r>
      <w:hyperlink r:id="rId47" w:history="1">
        <w:r>
          <w:rPr>
            <w:rStyle w:val="Collegamentoipertestuale"/>
            <w:rFonts w:cs="Arial"/>
            <w:b w:val="0"/>
            <w:i w:val="0"/>
            <w:sz w:val="22"/>
            <w:szCs w:val="22"/>
          </w:rPr>
          <w:t>art.9, comma 28 del D.L.78/2010</w:t>
        </w:r>
      </w:hyperlink>
      <w:r>
        <w:rPr>
          <w:rFonts w:cs="Arial"/>
          <w:b w:val="0"/>
          <w:i w:val="0"/>
          <w:sz w:val="22"/>
          <w:szCs w:val="22"/>
        </w:rPr>
        <w:t>)</w:t>
      </w:r>
    </w:p>
    <w:p w:rsidR="001811EC" w:rsidRDefault="002121F5">
      <w:pPr>
        <w:pStyle w:val="Corpodeltesto21"/>
        <w:numPr>
          <w:ilvl w:val="0"/>
          <w:numId w:val="15"/>
        </w:numPr>
        <w:tabs>
          <w:tab w:val="left" w:pos="786"/>
        </w:tabs>
        <w:ind w:left="862" w:hanging="357"/>
        <w:rPr>
          <w:rFonts w:cs="Arial"/>
          <w:b w:val="0"/>
          <w:i w:val="0"/>
          <w:sz w:val="22"/>
          <w:szCs w:val="22"/>
        </w:rPr>
      </w:pPr>
      <w:r>
        <w:rPr>
          <w:rFonts w:cs="Arial"/>
          <w:b w:val="0"/>
          <w:i w:val="0"/>
          <w:sz w:val="22"/>
          <w:szCs w:val="22"/>
        </w:rPr>
        <w:t xml:space="preserve">i limiti massimi di spesa disposti dagli </w:t>
      </w:r>
      <w:hyperlink r:id="rId48" w:history="1">
        <w:r>
          <w:rPr>
            <w:rStyle w:val="Collegamentoipertestuale"/>
            <w:rFonts w:cs="Arial"/>
            <w:b w:val="0"/>
            <w:i w:val="0"/>
            <w:sz w:val="22"/>
            <w:szCs w:val="22"/>
          </w:rPr>
          <w:t>art. 6</w:t>
        </w:r>
      </w:hyperlink>
      <w:r>
        <w:rPr>
          <w:rFonts w:cs="Arial"/>
          <w:b w:val="0"/>
          <w:i w:val="0"/>
          <w:sz w:val="22"/>
          <w:szCs w:val="22"/>
        </w:rPr>
        <w:t xml:space="preserve"> e </w:t>
      </w:r>
      <w:hyperlink r:id="rId49" w:history="1">
        <w:r>
          <w:rPr>
            <w:rStyle w:val="Collegamentoipertestuale"/>
            <w:rFonts w:cs="Arial"/>
            <w:b w:val="0"/>
            <w:i w:val="0"/>
            <w:sz w:val="22"/>
            <w:szCs w:val="22"/>
          </w:rPr>
          <w:t>9 del D.L.78/2010</w:t>
        </w:r>
      </w:hyperlink>
      <w:r>
        <w:rPr>
          <w:rFonts w:cs="Arial"/>
          <w:b w:val="0"/>
          <w:i w:val="0"/>
          <w:sz w:val="22"/>
          <w:szCs w:val="22"/>
        </w:rPr>
        <w:t>;</w:t>
      </w:r>
    </w:p>
    <w:p w:rsidR="001811EC" w:rsidRDefault="002121F5">
      <w:pPr>
        <w:pStyle w:val="Corpodeltesto21"/>
        <w:numPr>
          <w:ilvl w:val="0"/>
          <w:numId w:val="15"/>
        </w:numPr>
        <w:tabs>
          <w:tab w:val="left" w:pos="786"/>
        </w:tabs>
        <w:ind w:left="862" w:hanging="357"/>
        <w:rPr>
          <w:rFonts w:cs="Arial"/>
          <w:b w:val="0"/>
          <w:i w:val="0"/>
          <w:sz w:val="22"/>
          <w:szCs w:val="22"/>
        </w:rPr>
      </w:pPr>
      <w:r>
        <w:rPr>
          <w:rFonts w:cs="Arial"/>
          <w:b w:val="0"/>
          <w:i w:val="0"/>
          <w:sz w:val="22"/>
          <w:szCs w:val="22"/>
        </w:rPr>
        <w:t xml:space="preserve">i limiti massimi di spesa disposti dall’art. 1, commi 138, 146 e 147 della </w:t>
      </w:r>
      <w:hyperlink r:id="rId50" w:history="1">
        <w:r>
          <w:rPr>
            <w:rStyle w:val="Collegamentoipertestuale"/>
            <w:rFonts w:cs="Arial"/>
            <w:b w:val="0"/>
            <w:i w:val="0"/>
            <w:sz w:val="22"/>
            <w:szCs w:val="22"/>
          </w:rPr>
          <w:t>Legge 20/12/2012 n. 228</w:t>
        </w:r>
      </w:hyperlink>
      <w:r>
        <w:rPr>
          <w:rFonts w:cs="Arial"/>
          <w:b w:val="0"/>
          <w:i w:val="0"/>
          <w:sz w:val="22"/>
          <w:szCs w:val="22"/>
        </w:rPr>
        <w:t xml:space="preserve">; </w:t>
      </w:r>
    </w:p>
    <w:p w:rsidR="001811EC" w:rsidRDefault="002121F5">
      <w:pPr>
        <w:pStyle w:val="Corpotesto"/>
        <w:spacing w:before="240"/>
        <w:rPr>
          <w:rFonts w:cs="Arial"/>
          <w:sz w:val="22"/>
          <w:szCs w:val="22"/>
        </w:rPr>
      </w:pPr>
      <w:r>
        <w:rPr>
          <w:rFonts w:cs="Arial"/>
          <w:sz w:val="22"/>
          <w:szCs w:val="22"/>
        </w:rPr>
        <w:t xml:space="preserve">  e i seguenti documenti messi a disposizione:</w:t>
      </w:r>
    </w:p>
    <w:p w:rsidR="001811EC" w:rsidRDefault="002121F5">
      <w:pPr>
        <w:numPr>
          <w:ilvl w:val="0"/>
          <w:numId w:val="2"/>
        </w:numPr>
        <w:spacing w:after="120"/>
        <w:jc w:val="both"/>
        <w:rPr>
          <w:rFonts w:ascii="Arial" w:hAnsi="Arial" w:cs="Arial"/>
          <w:sz w:val="22"/>
          <w:szCs w:val="22"/>
        </w:rPr>
      </w:pPr>
      <w:r>
        <w:rPr>
          <w:rFonts w:ascii="Arial" w:hAnsi="Arial" w:cs="Arial"/>
          <w:sz w:val="22"/>
          <w:szCs w:val="22"/>
        </w:rPr>
        <w:t>i documenti e prospetti previsti dallo statuto e dal regolamento di contabilità;</w:t>
      </w:r>
    </w:p>
    <w:p w:rsidR="001811EC" w:rsidRDefault="002121F5">
      <w:pPr>
        <w:numPr>
          <w:ilvl w:val="0"/>
          <w:numId w:val="2"/>
        </w:numPr>
        <w:spacing w:after="120"/>
        <w:jc w:val="both"/>
        <w:rPr>
          <w:rFonts w:ascii="Arial" w:hAnsi="Arial" w:cs="Arial"/>
          <w:sz w:val="22"/>
          <w:szCs w:val="22"/>
        </w:rPr>
      </w:pPr>
      <w:r>
        <w:rPr>
          <w:rFonts w:ascii="Arial" w:hAnsi="Arial" w:cs="Arial"/>
          <w:sz w:val="22"/>
          <w:szCs w:val="22"/>
        </w:rPr>
        <w:t xml:space="preserve">prospetto analitico delle spese di personale previste in bilancio come individuate dal comma 557 dell’art.1 della </w:t>
      </w:r>
      <w:hyperlink r:id="rId51" w:history="1">
        <w:r>
          <w:rPr>
            <w:rStyle w:val="Collegamentoipertestuale"/>
            <w:rFonts w:ascii="Arial" w:hAnsi="Arial" w:cs="Arial"/>
            <w:sz w:val="22"/>
            <w:szCs w:val="22"/>
          </w:rPr>
          <w:t>Legge 296/2006</w:t>
        </w:r>
      </w:hyperlink>
      <w:r>
        <w:rPr>
          <w:rFonts w:ascii="Arial" w:hAnsi="Arial" w:cs="Arial"/>
          <w:sz w:val="22"/>
          <w:szCs w:val="22"/>
        </w:rPr>
        <w:t>;</w:t>
      </w:r>
    </w:p>
    <w:p w:rsidR="001811EC" w:rsidRDefault="001811EC">
      <w:pPr>
        <w:ind w:left="284"/>
        <w:jc w:val="both"/>
        <w:rPr>
          <w:rFonts w:ascii="Arial" w:hAnsi="Arial" w:cs="Arial"/>
          <w:sz w:val="22"/>
          <w:szCs w:val="22"/>
        </w:rPr>
      </w:pPr>
    </w:p>
    <w:p w:rsidR="001811EC" w:rsidRDefault="002121F5">
      <w:pPr>
        <w:numPr>
          <w:ilvl w:val="0"/>
          <w:numId w:val="3"/>
        </w:numPr>
        <w:tabs>
          <w:tab w:val="left" w:pos="360"/>
          <w:tab w:val="left" w:pos="426"/>
        </w:tabs>
        <w:spacing w:after="120"/>
        <w:jc w:val="both"/>
        <w:rPr>
          <w:rFonts w:ascii="Arial" w:hAnsi="Arial" w:cs="Arial"/>
          <w:sz w:val="22"/>
          <w:szCs w:val="22"/>
        </w:rPr>
      </w:pPr>
      <w:r>
        <w:rPr>
          <w:rFonts w:ascii="Arial" w:hAnsi="Arial" w:cs="Arial"/>
          <w:sz w:val="22"/>
          <w:szCs w:val="22"/>
        </w:rPr>
        <w:t xml:space="preserve">viste le disposizioni di Legge che regolano la finanza locale, in particolare il </w:t>
      </w:r>
      <w:hyperlink r:id="rId52" w:history="1">
        <w:r>
          <w:rPr>
            <w:rFonts w:ascii="Arial" w:hAnsi="Arial" w:cs="Arial"/>
            <w:sz w:val="22"/>
            <w:szCs w:val="22"/>
          </w:rPr>
          <w:t>TUEL</w:t>
        </w:r>
      </w:hyperlink>
      <w:r>
        <w:rPr>
          <w:rFonts w:ascii="Arial" w:hAnsi="Arial" w:cs="Arial"/>
          <w:sz w:val="22"/>
          <w:szCs w:val="22"/>
        </w:rPr>
        <w:t>;</w:t>
      </w:r>
    </w:p>
    <w:p w:rsidR="001811EC" w:rsidRDefault="002121F5">
      <w:pPr>
        <w:numPr>
          <w:ilvl w:val="0"/>
          <w:numId w:val="3"/>
        </w:numPr>
        <w:tabs>
          <w:tab w:val="left" w:pos="360"/>
          <w:tab w:val="left" w:pos="426"/>
        </w:tabs>
        <w:spacing w:after="120"/>
        <w:jc w:val="both"/>
        <w:rPr>
          <w:rFonts w:ascii="Arial" w:hAnsi="Arial" w:cs="Arial"/>
          <w:sz w:val="22"/>
          <w:szCs w:val="22"/>
        </w:rPr>
      </w:pPr>
      <w:r>
        <w:rPr>
          <w:rFonts w:ascii="Arial" w:hAnsi="Arial" w:cs="Arial"/>
          <w:sz w:val="22"/>
          <w:szCs w:val="22"/>
        </w:rPr>
        <w:t>visto lo statuto dell’ente, con particolare riferimento alle funzioni attribuite all’organo di revisione;</w:t>
      </w:r>
    </w:p>
    <w:p w:rsidR="001811EC" w:rsidRDefault="002121F5">
      <w:pPr>
        <w:numPr>
          <w:ilvl w:val="0"/>
          <w:numId w:val="3"/>
        </w:numPr>
        <w:tabs>
          <w:tab w:val="left" w:pos="360"/>
          <w:tab w:val="left" w:pos="426"/>
        </w:tabs>
        <w:spacing w:after="120"/>
        <w:jc w:val="both"/>
        <w:rPr>
          <w:rFonts w:ascii="Arial" w:hAnsi="Arial" w:cs="Arial"/>
          <w:sz w:val="22"/>
          <w:szCs w:val="22"/>
        </w:rPr>
      </w:pPr>
      <w:r>
        <w:rPr>
          <w:rFonts w:ascii="Arial" w:hAnsi="Arial" w:cs="Arial"/>
          <w:sz w:val="22"/>
          <w:szCs w:val="22"/>
        </w:rPr>
        <w:t>visto lo Statuto ed il regolamento di contabilità;</w:t>
      </w:r>
    </w:p>
    <w:p w:rsidR="001811EC" w:rsidRDefault="002121F5">
      <w:pPr>
        <w:numPr>
          <w:ilvl w:val="0"/>
          <w:numId w:val="3"/>
        </w:numPr>
        <w:tabs>
          <w:tab w:val="left" w:pos="360"/>
          <w:tab w:val="left" w:pos="426"/>
        </w:tabs>
        <w:spacing w:after="120"/>
        <w:jc w:val="both"/>
        <w:rPr>
          <w:rFonts w:ascii="Arial" w:hAnsi="Arial" w:cs="Arial"/>
          <w:sz w:val="22"/>
          <w:szCs w:val="22"/>
        </w:rPr>
      </w:pPr>
      <w:r>
        <w:rPr>
          <w:rFonts w:ascii="Arial" w:hAnsi="Arial" w:cs="Arial"/>
          <w:sz w:val="22"/>
          <w:szCs w:val="22"/>
        </w:rPr>
        <w:lastRenderedPageBreak/>
        <w:t>visti i regolamenti relativi ai tributi comunali;</w:t>
      </w:r>
    </w:p>
    <w:p w:rsidR="001811EC" w:rsidRDefault="002121F5">
      <w:pPr>
        <w:numPr>
          <w:ilvl w:val="0"/>
          <w:numId w:val="3"/>
        </w:numPr>
        <w:tabs>
          <w:tab w:val="left" w:pos="360"/>
          <w:tab w:val="left" w:pos="426"/>
        </w:tabs>
        <w:spacing w:after="120"/>
        <w:jc w:val="both"/>
        <w:rPr>
          <w:rFonts w:ascii="Arial" w:hAnsi="Arial" w:cs="Arial"/>
          <w:sz w:val="22"/>
          <w:szCs w:val="22"/>
        </w:rPr>
      </w:pPr>
      <w:r>
        <w:rPr>
          <w:rFonts w:ascii="Arial" w:hAnsi="Arial" w:cs="Arial"/>
          <w:sz w:val="22"/>
          <w:szCs w:val="22"/>
        </w:rPr>
        <w:t>visto il parere espresso dal responsabile del servizio finanziario, ai sensi dell’</w:t>
      </w:r>
      <w:hyperlink r:id="rId53" w:history="1">
        <w:r>
          <w:rPr>
            <w:rStyle w:val="Collegamentoipertestuale"/>
            <w:rFonts w:ascii="Arial" w:hAnsi="Arial" w:cs="Arial"/>
            <w:sz w:val="22"/>
            <w:szCs w:val="22"/>
          </w:rPr>
          <w:t xml:space="preserve">art.153, comma 4 del </w:t>
        </w:r>
        <w:proofErr w:type="spellStart"/>
        <w:r>
          <w:rPr>
            <w:rStyle w:val="Collegamentoipertestuale"/>
            <w:rFonts w:ascii="Arial" w:hAnsi="Arial" w:cs="Arial"/>
            <w:sz w:val="22"/>
            <w:szCs w:val="22"/>
          </w:rPr>
          <w:t>D.Lgs.</w:t>
        </w:r>
        <w:proofErr w:type="spellEnd"/>
        <w:r>
          <w:rPr>
            <w:rStyle w:val="Collegamentoipertestuale"/>
            <w:rFonts w:ascii="Arial" w:hAnsi="Arial" w:cs="Arial"/>
            <w:sz w:val="22"/>
            <w:szCs w:val="22"/>
          </w:rPr>
          <w:t xml:space="preserve"> 267/2000</w:t>
        </w:r>
      </w:hyperlink>
      <w:r>
        <w:rPr>
          <w:rFonts w:ascii="Arial" w:hAnsi="Arial" w:cs="Arial"/>
          <w:sz w:val="22"/>
          <w:szCs w:val="22"/>
        </w:rPr>
        <w:t>, in data ………. in merito alla veridicità delle previsioni di entrata e di compatibilità delle previsioni di spesa, avanzate dai vari servizi, iscritte nel bilancio di previsione 2017/2019;</w:t>
      </w:r>
    </w:p>
    <w:p w:rsidR="001811EC" w:rsidRDefault="002121F5">
      <w:pPr>
        <w:tabs>
          <w:tab w:val="left" w:pos="360"/>
          <w:tab w:val="left" w:pos="426"/>
        </w:tabs>
        <w:spacing w:after="120"/>
        <w:jc w:val="both"/>
        <w:rPr>
          <w:rFonts w:ascii="Arial" w:hAnsi="Arial" w:cs="Arial"/>
        </w:rPr>
      </w:pPr>
      <w:r>
        <w:rPr>
          <w:rFonts w:ascii="Arial" w:hAnsi="Arial" w:cs="Arial"/>
          <w:sz w:val="22"/>
          <w:szCs w:val="22"/>
        </w:rPr>
        <w:t>ha</w:t>
      </w:r>
      <w:r>
        <w:rPr>
          <w:rFonts w:ascii="Arial" w:hAnsi="Arial" w:cs="Arial"/>
          <w:b/>
          <w:i/>
          <w:sz w:val="22"/>
          <w:szCs w:val="22"/>
        </w:rPr>
        <w:t xml:space="preserve"> </w:t>
      </w:r>
      <w:r>
        <w:rPr>
          <w:rFonts w:ascii="Arial" w:hAnsi="Arial" w:cs="Arial"/>
          <w:sz w:val="22"/>
          <w:szCs w:val="22"/>
        </w:rPr>
        <w:t>effettuato le seguenti verifiche al fine di esprimere un motivato giudizio di coerenza, attendibilità e congruità contabile delle previsioni di bilancio e dei programmi e progetti, come richiesto dall’</w:t>
      </w:r>
      <w:hyperlink r:id="rId54" w:history="1">
        <w:r>
          <w:rPr>
            <w:rStyle w:val="Collegamentoipertestuale"/>
            <w:rFonts w:ascii="Arial" w:hAnsi="Arial" w:cs="Arial"/>
            <w:sz w:val="22"/>
            <w:szCs w:val="22"/>
          </w:rPr>
          <w:t>art. 239, comma 1, lettera b) del TUEL.</w:t>
        </w:r>
      </w:hyperlink>
    </w:p>
    <w:p w:rsidR="001811EC" w:rsidRDefault="001811EC">
      <w:pPr>
        <w:tabs>
          <w:tab w:val="left" w:pos="360"/>
          <w:tab w:val="left" w:pos="426"/>
        </w:tabs>
        <w:spacing w:after="120"/>
        <w:jc w:val="both"/>
        <w:rPr>
          <w:rFonts w:ascii="Arial" w:hAnsi="Arial" w:cs="Arial"/>
          <w:sz w:val="22"/>
          <w:szCs w:val="22"/>
        </w:rPr>
      </w:pPr>
    </w:p>
    <w:p w:rsidR="001811EC" w:rsidRDefault="002121F5">
      <w:pPr>
        <w:pStyle w:val="Titolo1"/>
        <w:shd w:val="clear" w:color="auto" w:fill="B6DDE8" w:themeFill="accent5" w:themeFillTint="66"/>
      </w:pPr>
      <w:bookmarkStart w:id="4" w:name="_Toc469216194"/>
      <w:r>
        <w:t>ACCERTAMENTI PRELIMINARI</w:t>
      </w:r>
      <w:bookmarkEnd w:id="4"/>
    </w:p>
    <w:p w:rsidR="001811EC" w:rsidRDefault="002121F5">
      <w:pPr>
        <w:spacing w:before="120"/>
        <w:jc w:val="both"/>
        <w:rPr>
          <w:rFonts w:ascii="Arial" w:hAnsi="Arial" w:cs="Arial"/>
          <w:sz w:val="22"/>
          <w:szCs w:val="22"/>
        </w:rPr>
      </w:pPr>
      <w:r>
        <w:rPr>
          <w:rFonts w:ascii="Arial" w:hAnsi="Arial" w:cs="Arial"/>
          <w:sz w:val="22"/>
          <w:szCs w:val="22"/>
        </w:rPr>
        <w:t>L’Ente entro il 30 novembre 2016 ha/non ha aggiornato gli stanziamenti 2016 del bilancio di previsione 2016/2018.</w:t>
      </w:r>
    </w:p>
    <w:p w:rsidR="001811EC" w:rsidRDefault="001811EC">
      <w:pPr>
        <w:spacing w:before="120"/>
        <w:jc w:val="both"/>
        <w:rPr>
          <w:rFonts w:ascii="Arial" w:hAnsi="Arial" w:cs="Arial"/>
          <w:sz w:val="22"/>
          <w:szCs w:val="22"/>
        </w:rPr>
      </w:pPr>
    </w:p>
    <w:p w:rsidR="001811EC" w:rsidRDefault="002121F5">
      <w:pPr>
        <w:pStyle w:val="PreformattatoHTML"/>
        <w:jc w:val="both"/>
        <w:rPr>
          <w:rFonts w:ascii="Arial" w:hAnsi="Arial" w:cs="Arial"/>
          <w:sz w:val="22"/>
          <w:szCs w:val="22"/>
        </w:rPr>
      </w:pPr>
      <w:r>
        <w:rPr>
          <w:rFonts w:ascii="Arial" w:hAnsi="Arial" w:cs="Arial"/>
          <w:i/>
          <w:sz w:val="22"/>
          <w:szCs w:val="22"/>
        </w:rPr>
        <w:t>(eventuale-per chi delibera il bilancio dopo il 1/1/2017)</w:t>
      </w:r>
      <w:r>
        <w:rPr>
          <w:rFonts w:ascii="Arial" w:hAnsi="Arial" w:cs="Arial"/>
          <w:sz w:val="22"/>
          <w:szCs w:val="22"/>
        </w:rPr>
        <w:t xml:space="preserve"> Essendo in esercizio provvisorio l’Ente ha/non ha trasmesso al Tesoriere l’elenco dei residui presunti alla data del 1° gennaio 2017 e gli stanziamenti di competenza 2017 del bilancio di previsione pluriennale 2016/2018 aggiornati alle variazioni deliberate nel corso dell’esercizio 2016, indicanti – per ciascuna missione, programma e titolo - gli impegni già assunti e l’importo del fondo pluriennale vincolato.</w:t>
      </w:r>
    </w:p>
    <w:p w:rsidR="001811EC" w:rsidRDefault="001811EC">
      <w:pPr>
        <w:pStyle w:val="PreformattatoHTML"/>
        <w:jc w:val="both"/>
        <w:rPr>
          <w:rFonts w:ascii="Arial" w:hAnsi="Arial" w:cs="Arial"/>
          <w:sz w:val="22"/>
          <w:szCs w:val="22"/>
        </w:rPr>
      </w:pPr>
    </w:p>
    <w:p w:rsidR="001811EC" w:rsidRDefault="002121F5">
      <w:pPr>
        <w:spacing w:before="120"/>
        <w:jc w:val="both"/>
        <w:rPr>
          <w:rFonts w:ascii="Arial" w:hAnsi="Arial" w:cs="Arial"/>
          <w:sz w:val="22"/>
          <w:szCs w:val="22"/>
        </w:rPr>
      </w:pPr>
      <w:r>
        <w:rPr>
          <w:rFonts w:ascii="Arial" w:hAnsi="Arial" w:cs="Arial"/>
          <w:sz w:val="22"/>
          <w:szCs w:val="22"/>
        </w:rPr>
        <w:t xml:space="preserve">L’Ente ha/non ha deliberato riduzioni/esenzioni di tributi locali ai sensi </w:t>
      </w:r>
      <w:hyperlink r:id="rId55" w:history="1">
        <w:r>
          <w:rPr>
            <w:rStyle w:val="Collegamentoipertestuale"/>
            <w:rFonts w:ascii="Arial" w:hAnsi="Arial" w:cs="Arial"/>
            <w:sz w:val="22"/>
            <w:szCs w:val="22"/>
          </w:rPr>
          <w:t>dell’art.24 del D.L. n. 133/2014</w:t>
        </w:r>
      </w:hyperlink>
      <w:r>
        <w:rPr>
          <w:rFonts w:ascii="Arial" w:hAnsi="Arial" w:cs="Arial"/>
          <w:sz w:val="22"/>
          <w:szCs w:val="22"/>
        </w:rPr>
        <w:t xml:space="preserve"> (c.d. “Baratto amministrativo”). </w:t>
      </w:r>
      <w:r>
        <w:rPr>
          <w:rFonts w:ascii="Arial" w:hAnsi="Arial" w:cs="Arial"/>
          <w:i/>
          <w:color w:val="0070C0"/>
          <w:sz w:val="22"/>
          <w:szCs w:val="22"/>
        </w:rPr>
        <w:t>In presenza di deliberazioni indicare se tale deliberazione prevede anche lo sgravio di “debiti fiscali pregressi</w:t>
      </w:r>
      <w:r>
        <w:rPr>
          <w:rFonts w:ascii="Arial" w:hAnsi="Arial" w:cs="Arial"/>
          <w:i/>
          <w:sz w:val="22"/>
          <w:szCs w:val="22"/>
        </w:rPr>
        <w:t>.</w:t>
      </w:r>
    </w:p>
    <w:p w:rsidR="001811EC" w:rsidRDefault="002121F5">
      <w:pPr>
        <w:spacing w:before="120"/>
        <w:jc w:val="both"/>
        <w:rPr>
          <w:rFonts w:ascii="Arial" w:hAnsi="Arial" w:cs="Arial"/>
          <w:sz w:val="22"/>
          <w:szCs w:val="22"/>
        </w:rPr>
      </w:pPr>
      <w:r>
        <w:rPr>
          <w:rFonts w:ascii="Arial" w:hAnsi="Arial" w:cs="Arial"/>
          <w:sz w:val="22"/>
          <w:szCs w:val="22"/>
        </w:rPr>
        <w:t xml:space="preserve"> </w:t>
      </w:r>
    </w:p>
    <w:p w:rsidR="001811EC" w:rsidRDefault="001811EC">
      <w:pPr>
        <w:spacing w:after="120"/>
        <w:jc w:val="both"/>
        <w:rPr>
          <w:rFonts w:ascii="Arial" w:hAnsi="Arial" w:cs="Arial"/>
          <w:i/>
          <w:sz w:val="20"/>
        </w:rPr>
      </w:pPr>
    </w:p>
    <w:p w:rsidR="001811EC" w:rsidRDefault="001811EC">
      <w:pPr>
        <w:spacing w:after="120"/>
        <w:jc w:val="both"/>
        <w:rPr>
          <w:rFonts w:ascii="Arial" w:hAnsi="Arial" w:cs="Arial"/>
          <w:i/>
          <w:sz w:val="20"/>
        </w:rPr>
      </w:pPr>
    </w:p>
    <w:p w:rsidR="001811EC" w:rsidRDefault="001811EC">
      <w:pPr>
        <w:spacing w:after="120"/>
        <w:jc w:val="both"/>
        <w:rPr>
          <w:rFonts w:ascii="Arial" w:hAnsi="Arial" w:cs="Arial"/>
          <w:i/>
          <w:sz w:val="20"/>
        </w:rPr>
      </w:pPr>
    </w:p>
    <w:p w:rsidR="001811EC" w:rsidRDefault="002121F5">
      <w:pPr>
        <w:rPr>
          <w:rFonts w:ascii="Arial" w:hAnsi="Arial" w:cs="Arial"/>
          <w:i/>
          <w:sz w:val="20"/>
        </w:rPr>
      </w:pPr>
      <w:r>
        <w:rPr>
          <w:rFonts w:ascii="Arial" w:hAnsi="Arial" w:cs="Arial"/>
          <w:i/>
          <w:sz w:val="20"/>
        </w:rPr>
        <w:br w:type="page"/>
      </w:r>
    </w:p>
    <w:p w:rsidR="001811EC" w:rsidRDefault="002121F5">
      <w:pPr>
        <w:pStyle w:val="Titolo1"/>
        <w:shd w:val="clear" w:color="auto" w:fill="B6DDE8" w:themeFill="accent5" w:themeFillTint="66"/>
        <w:tabs>
          <w:tab w:val="left" w:pos="610"/>
          <w:tab w:val="left" w:pos="2320"/>
          <w:tab w:val="center" w:pos="4864"/>
        </w:tabs>
        <w:jc w:val="left"/>
      </w:pPr>
      <w:r>
        <w:lastRenderedPageBreak/>
        <w:tab/>
      </w:r>
      <w:r>
        <w:tab/>
      </w:r>
      <w:r>
        <w:tab/>
        <w:t xml:space="preserve">    </w:t>
      </w:r>
      <w:bookmarkStart w:id="5" w:name="_Toc346838816"/>
      <w:bookmarkStart w:id="6" w:name="_Toc469216195"/>
      <w:r>
        <w:t>VERIFICHE DEGLI EQUILIBRI</w:t>
      </w:r>
      <w:bookmarkEnd w:id="5"/>
      <w:bookmarkEnd w:id="6"/>
    </w:p>
    <w:p w:rsidR="001811EC" w:rsidRDefault="002121F5">
      <w:pPr>
        <w:pStyle w:val="Titolo2"/>
        <w:jc w:val="center"/>
      </w:pPr>
      <w:bookmarkStart w:id="7" w:name="_GESTIONE_DELL’ESERCIZIO_2008"/>
      <w:bookmarkStart w:id="8" w:name="_Toc346838817"/>
      <w:bookmarkStart w:id="9" w:name="_Toc469216196"/>
      <w:bookmarkEnd w:id="7"/>
      <w:r>
        <w:t xml:space="preserve">GESTIONE DELL’ESERCIZIO </w:t>
      </w:r>
      <w:bookmarkEnd w:id="8"/>
      <w:r>
        <w:t>2016</w:t>
      </w:r>
      <w:bookmarkEnd w:id="9"/>
    </w:p>
    <w:p w:rsidR="001811EC" w:rsidRDefault="001811EC">
      <w:pPr>
        <w:rPr>
          <w:rFonts w:ascii="Arial" w:hAnsi="Arial" w:cs="Arial"/>
        </w:rPr>
      </w:pPr>
    </w:p>
    <w:p w:rsidR="001811EC" w:rsidRDefault="002121F5">
      <w:pPr>
        <w:spacing w:before="120"/>
        <w:jc w:val="both"/>
        <w:rPr>
          <w:rFonts w:ascii="Arial" w:hAnsi="Arial" w:cs="Arial"/>
          <w:sz w:val="22"/>
          <w:szCs w:val="22"/>
        </w:rPr>
      </w:pPr>
      <w:r>
        <w:rPr>
          <w:rFonts w:ascii="Arial" w:hAnsi="Arial" w:cs="Arial"/>
          <w:sz w:val="22"/>
          <w:szCs w:val="22"/>
        </w:rPr>
        <w:t>L’organo consiliare ha approvato con delibera n. ….del……. la proposta di rendiconto per l’esercizio 2015.</w:t>
      </w:r>
    </w:p>
    <w:p w:rsidR="001811EC" w:rsidRDefault="002121F5">
      <w:pPr>
        <w:spacing w:before="120" w:line="240" w:lineRule="exact"/>
        <w:jc w:val="both"/>
        <w:rPr>
          <w:rFonts w:ascii="Arial" w:hAnsi="Arial" w:cs="Arial"/>
          <w:sz w:val="22"/>
          <w:szCs w:val="22"/>
        </w:rPr>
      </w:pPr>
      <w:r>
        <w:rPr>
          <w:rFonts w:ascii="Arial" w:hAnsi="Arial" w:cs="Arial"/>
          <w:sz w:val="22"/>
          <w:szCs w:val="22"/>
        </w:rPr>
        <w:t>Da tale rendiconto, come indicato nella relazione dell’organo di revisione formulata con verbale n…..  in data ……….. risulta che:</w:t>
      </w:r>
    </w:p>
    <w:p w:rsidR="001811EC" w:rsidRDefault="002121F5">
      <w:pPr>
        <w:numPr>
          <w:ilvl w:val="0"/>
          <w:numId w:val="8"/>
        </w:numPr>
        <w:spacing w:before="120" w:line="240" w:lineRule="exact"/>
        <w:jc w:val="both"/>
        <w:rPr>
          <w:rFonts w:ascii="Arial" w:hAnsi="Arial" w:cs="Arial"/>
          <w:sz w:val="22"/>
          <w:szCs w:val="22"/>
        </w:rPr>
      </w:pPr>
      <w:r>
        <w:rPr>
          <w:rFonts w:ascii="Arial" w:hAnsi="Arial" w:cs="Arial"/>
          <w:sz w:val="22"/>
          <w:szCs w:val="22"/>
        </w:rPr>
        <w:t>sono salvaguardati gli equilibri di bilancio;</w:t>
      </w:r>
    </w:p>
    <w:p w:rsidR="001811EC" w:rsidRDefault="002121F5">
      <w:pPr>
        <w:numPr>
          <w:ilvl w:val="0"/>
          <w:numId w:val="8"/>
        </w:numPr>
        <w:spacing w:before="120" w:line="240" w:lineRule="exact"/>
        <w:jc w:val="both"/>
        <w:rPr>
          <w:rFonts w:ascii="Arial" w:hAnsi="Arial" w:cs="Arial"/>
          <w:sz w:val="22"/>
          <w:szCs w:val="22"/>
        </w:rPr>
      </w:pPr>
      <w:r>
        <w:rPr>
          <w:rFonts w:ascii="Arial" w:hAnsi="Arial" w:cs="Arial"/>
          <w:sz w:val="22"/>
          <w:szCs w:val="22"/>
        </w:rPr>
        <w:t>non risultano debiti fuori bilancio o passività probabili da finanziare;</w:t>
      </w:r>
    </w:p>
    <w:p w:rsidR="001811EC" w:rsidRDefault="002121F5">
      <w:pPr>
        <w:numPr>
          <w:ilvl w:val="0"/>
          <w:numId w:val="8"/>
        </w:numPr>
        <w:spacing w:before="120" w:line="240" w:lineRule="exact"/>
        <w:jc w:val="both"/>
        <w:rPr>
          <w:rFonts w:ascii="Arial" w:hAnsi="Arial" w:cs="Arial"/>
          <w:sz w:val="22"/>
          <w:szCs w:val="22"/>
        </w:rPr>
      </w:pPr>
      <w:r>
        <w:rPr>
          <w:rFonts w:ascii="Arial" w:hAnsi="Arial" w:cs="Arial"/>
          <w:sz w:val="22"/>
          <w:szCs w:val="22"/>
        </w:rPr>
        <w:t xml:space="preserve">è stato rispettato l’obiettivo del patto di stabilità; </w:t>
      </w:r>
    </w:p>
    <w:p w:rsidR="001811EC" w:rsidRDefault="002121F5">
      <w:pPr>
        <w:numPr>
          <w:ilvl w:val="0"/>
          <w:numId w:val="8"/>
        </w:numPr>
        <w:spacing w:before="120" w:line="240" w:lineRule="exact"/>
        <w:jc w:val="both"/>
        <w:rPr>
          <w:rFonts w:ascii="Arial" w:hAnsi="Arial" w:cs="Arial"/>
          <w:sz w:val="22"/>
          <w:szCs w:val="22"/>
        </w:rPr>
      </w:pPr>
      <w:r>
        <w:rPr>
          <w:rFonts w:ascii="Arial" w:hAnsi="Arial" w:cs="Arial"/>
          <w:sz w:val="22"/>
          <w:szCs w:val="22"/>
        </w:rPr>
        <w:t>sono state rispettate le disposizioni sul contenimento delle spese di personale;</w:t>
      </w:r>
    </w:p>
    <w:p w:rsidR="001811EC" w:rsidRDefault="002121F5">
      <w:pPr>
        <w:numPr>
          <w:ilvl w:val="0"/>
          <w:numId w:val="8"/>
        </w:numPr>
        <w:spacing w:before="120" w:line="240" w:lineRule="exact"/>
        <w:jc w:val="both"/>
        <w:rPr>
          <w:rFonts w:ascii="Arial" w:hAnsi="Arial" w:cs="Arial"/>
          <w:sz w:val="22"/>
          <w:szCs w:val="22"/>
        </w:rPr>
      </w:pPr>
      <w:r>
        <w:rPr>
          <w:rFonts w:ascii="Arial" w:hAnsi="Arial" w:cs="Arial"/>
          <w:sz w:val="22"/>
          <w:szCs w:val="22"/>
        </w:rPr>
        <w:t>non sono richiesti finanziamenti straordinari agli organismi partecipati.</w:t>
      </w:r>
    </w:p>
    <w:p w:rsidR="001811EC" w:rsidRDefault="002121F5">
      <w:pPr>
        <w:pBdr>
          <w:top w:val="single" w:sz="4" w:space="1" w:color="auto"/>
          <w:left w:val="single" w:sz="4" w:space="4" w:color="auto"/>
          <w:bottom w:val="single" w:sz="4" w:space="1" w:color="auto"/>
          <w:right w:val="single" w:sz="4" w:space="4" w:color="auto"/>
        </w:pBdr>
        <w:spacing w:before="120" w:line="240" w:lineRule="exact"/>
        <w:jc w:val="both"/>
        <w:rPr>
          <w:rFonts w:ascii="Arial" w:hAnsi="Arial" w:cs="Arial"/>
          <w:sz w:val="22"/>
          <w:szCs w:val="22"/>
        </w:rPr>
      </w:pPr>
      <w:r>
        <w:rPr>
          <w:rFonts w:ascii="Arial" w:hAnsi="Arial" w:cs="Arial"/>
          <w:sz w:val="22"/>
          <w:szCs w:val="22"/>
        </w:rPr>
        <w:t>Oppure:</w:t>
      </w:r>
    </w:p>
    <w:p w:rsidR="001811EC" w:rsidRDefault="002121F5">
      <w:pPr>
        <w:pBdr>
          <w:top w:val="single" w:sz="4" w:space="1" w:color="auto"/>
          <w:left w:val="single" w:sz="4" w:space="4" w:color="auto"/>
          <w:bottom w:val="single" w:sz="4" w:space="1" w:color="auto"/>
          <w:right w:val="single" w:sz="4" w:space="4" w:color="auto"/>
        </w:pBdr>
        <w:spacing w:before="120" w:line="240" w:lineRule="exact"/>
        <w:jc w:val="both"/>
        <w:rPr>
          <w:rFonts w:ascii="Arial" w:hAnsi="Arial" w:cs="Arial"/>
          <w:i/>
          <w:sz w:val="22"/>
          <w:szCs w:val="22"/>
        </w:rPr>
      </w:pPr>
      <w:r>
        <w:rPr>
          <w:rFonts w:ascii="Arial" w:hAnsi="Arial" w:cs="Arial"/>
          <w:i/>
          <w:sz w:val="22"/>
          <w:szCs w:val="22"/>
        </w:rPr>
        <w:t>indicare le criticità riscontrate</w:t>
      </w:r>
    </w:p>
    <w:p w:rsidR="001811EC" w:rsidRDefault="001811EC">
      <w:pPr>
        <w:spacing w:before="120" w:after="60"/>
        <w:jc w:val="both"/>
        <w:rPr>
          <w:rFonts w:ascii="Arial" w:hAnsi="Arial" w:cs="Arial"/>
          <w:sz w:val="22"/>
          <w:szCs w:val="22"/>
        </w:rPr>
      </w:pPr>
    </w:p>
    <w:p w:rsidR="001811EC" w:rsidRDefault="002121F5">
      <w:pPr>
        <w:spacing w:before="120" w:after="60"/>
        <w:jc w:val="both"/>
        <w:rPr>
          <w:rFonts w:ascii="Arial" w:hAnsi="Arial" w:cs="Arial"/>
          <w:sz w:val="22"/>
          <w:szCs w:val="22"/>
        </w:rPr>
      </w:pPr>
      <w:r>
        <w:rPr>
          <w:rFonts w:ascii="Arial" w:hAnsi="Arial" w:cs="Arial"/>
          <w:sz w:val="22"/>
          <w:szCs w:val="22"/>
        </w:rPr>
        <w:t>La gestione dell’anno 2015: (oppure: anno 2016 se deliberato il rendiconto)</w:t>
      </w:r>
    </w:p>
    <w:p w:rsidR="001811EC" w:rsidRDefault="001811EC">
      <w:pPr>
        <w:pStyle w:val="Paragrafoelenco"/>
        <w:spacing w:before="120" w:after="60"/>
        <w:jc w:val="both"/>
        <w:rPr>
          <w:rFonts w:ascii="Arial" w:hAnsi="Arial" w:cs="Arial"/>
          <w:sz w:val="22"/>
          <w:szCs w:val="22"/>
        </w:rPr>
      </w:pPr>
    </w:p>
    <w:p w:rsidR="001811EC" w:rsidRDefault="002121F5">
      <w:pPr>
        <w:pStyle w:val="Paragrafoelenco"/>
        <w:numPr>
          <w:ilvl w:val="0"/>
          <w:numId w:val="11"/>
        </w:numPr>
        <w:spacing w:before="120" w:after="60"/>
        <w:jc w:val="both"/>
        <w:rPr>
          <w:rFonts w:ascii="Arial" w:hAnsi="Arial" w:cs="Arial"/>
          <w:sz w:val="22"/>
          <w:szCs w:val="22"/>
        </w:rPr>
      </w:pPr>
      <w:r>
        <w:rPr>
          <w:rFonts w:ascii="Arial" w:hAnsi="Arial" w:cs="Arial"/>
          <w:sz w:val="22"/>
          <w:szCs w:val="22"/>
        </w:rPr>
        <w:t>si è chiusa con un risultato di amministrazione al 31/12/2015 (oppure: al 31/12/2016 se deliberato il rendiconto) così distinto ai sensi dell’</w:t>
      </w:r>
      <w:hyperlink r:id="rId56" w:history="1">
        <w:r>
          <w:rPr>
            <w:rStyle w:val="Collegamentoipertestuale"/>
            <w:rFonts w:ascii="Arial" w:hAnsi="Arial" w:cs="Arial"/>
            <w:sz w:val="22"/>
            <w:szCs w:val="22"/>
          </w:rPr>
          <w:t>art.187 del TUEL</w:t>
        </w:r>
      </w:hyperlink>
      <w:r>
        <w:rPr>
          <w:rFonts w:ascii="Arial" w:hAnsi="Arial" w:cs="Arial"/>
          <w:sz w:val="22"/>
          <w:szCs w:val="22"/>
        </w:rPr>
        <w:t>:</w:t>
      </w:r>
    </w:p>
    <w:bookmarkStart w:id="10" w:name="_MON_1542697667"/>
    <w:bookmarkEnd w:id="10"/>
    <w:p w:rsidR="001811EC" w:rsidRDefault="002121F5">
      <w:pPr>
        <w:spacing w:before="120" w:after="60"/>
        <w:ind w:left="142"/>
        <w:jc w:val="center"/>
        <w:rPr>
          <w:rFonts w:ascii="Arial" w:hAnsi="Arial" w:cs="Arial"/>
          <w:sz w:val="22"/>
          <w:szCs w:val="22"/>
        </w:rPr>
      </w:pPr>
      <w:r w:rsidRPr="00FF759A">
        <w:rPr>
          <w:rFonts w:ascii="Arial" w:hAnsi="Arial" w:cs="Arial"/>
        </w:rPr>
        <w:object w:dxaOrig="6105" w:dyaOrig="2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75pt;height:120.15pt" o:ole="">
            <v:imagedata r:id="rId57" o:title=""/>
          </v:shape>
          <o:OLEObject Type="Embed" ProgID="Excel.Sheet.12" ShapeID="_x0000_i1025" DrawAspect="Content" ObjectID="_1547620553" r:id="rId58"/>
        </w:object>
      </w:r>
    </w:p>
    <w:p w:rsidR="001811EC" w:rsidRDefault="001811EC">
      <w:pPr>
        <w:pStyle w:val="Paragrafoelenco"/>
        <w:spacing w:before="120" w:after="60"/>
        <w:jc w:val="both"/>
        <w:rPr>
          <w:rFonts w:ascii="Arial" w:hAnsi="Arial" w:cs="Arial"/>
          <w:sz w:val="22"/>
          <w:szCs w:val="22"/>
        </w:rPr>
      </w:pPr>
    </w:p>
    <w:p w:rsidR="001811EC" w:rsidRDefault="002121F5">
      <w:pPr>
        <w:pBdr>
          <w:top w:val="single" w:sz="4" w:space="1" w:color="auto"/>
          <w:left w:val="single" w:sz="4" w:space="4" w:color="auto"/>
          <w:bottom w:val="single" w:sz="4" w:space="1" w:color="auto"/>
          <w:right w:val="single" w:sz="4" w:space="4" w:color="auto"/>
        </w:pBdr>
        <w:spacing w:before="120" w:after="60"/>
        <w:jc w:val="both"/>
        <w:rPr>
          <w:rFonts w:ascii="Arial" w:hAnsi="Arial" w:cs="Arial"/>
          <w:i/>
          <w:sz w:val="22"/>
          <w:szCs w:val="22"/>
        </w:rPr>
      </w:pPr>
      <w:bookmarkStart w:id="11" w:name="_MON_1513700775"/>
      <w:bookmarkEnd w:id="11"/>
      <w:r>
        <w:rPr>
          <w:rFonts w:ascii="Arial" w:hAnsi="Arial" w:cs="Arial"/>
          <w:i/>
          <w:sz w:val="22"/>
          <w:szCs w:val="22"/>
        </w:rPr>
        <w:t>Oppure:</w:t>
      </w:r>
    </w:p>
    <w:p w:rsidR="001811EC" w:rsidRDefault="002121F5">
      <w:pPr>
        <w:pBdr>
          <w:top w:val="single" w:sz="4" w:space="1" w:color="auto"/>
          <w:left w:val="single" w:sz="4" w:space="4" w:color="auto"/>
          <w:bottom w:val="single" w:sz="4" w:space="1" w:color="auto"/>
          <w:right w:val="single" w:sz="4" w:space="4" w:color="auto"/>
        </w:pBdr>
        <w:spacing w:before="120" w:after="60"/>
        <w:jc w:val="both"/>
        <w:rPr>
          <w:rFonts w:ascii="Arial" w:hAnsi="Arial" w:cs="Arial"/>
          <w:i/>
          <w:sz w:val="22"/>
          <w:szCs w:val="22"/>
        </w:rPr>
      </w:pPr>
      <w:r>
        <w:rPr>
          <w:rFonts w:ascii="Arial" w:hAnsi="Arial" w:cs="Arial"/>
          <w:i/>
          <w:sz w:val="22"/>
          <w:szCs w:val="22"/>
        </w:rPr>
        <w:t>con l’accertamento straordinario dei residui è emerso un disavanzo da ripianare come da seguente tabella:</w:t>
      </w:r>
    </w:p>
    <w:bookmarkStart w:id="12" w:name="_MON_1542697780"/>
    <w:bookmarkEnd w:id="12"/>
    <w:bookmarkStart w:id="13" w:name="_MON_1513701343"/>
    <w:bookmarkEnd w:id="13"/>
    <w:p w:rsidR="001811EC" w:rsidRDefault="002121F5">
      <w:pPr>
        <w:pStyle w:val="Paragrafoelenco"/>
        <w:spacing w:before="120" w:after="60"/>
        <w:jc w:val="center"/>
        <w:rPr>
          <w:rFonts w:ascii="Arial" w:hAnsi="Arial" w:cs="Arial"/>
          <w:sz w:val="22"/>
          <w:szCs w:val="22"/>
        </w:rPr>
      </w:pPr>
      <w:r w:rsidRPr="00FF759A">
        <w:rPr>
          <w:rFonts w:ascii="Arial" w:hAnsi="Arial" w:cs="Arial"/>
          <w:noProof/>
          <w:sz w:val="22"/>
          <w:szCs w:val="22"/>
        </w:rPr>
        <w:object w:dxaOrig="6424" w:dyaOrig="2324">
          <v:shape id="_x0000_i1026" type="#_x0000_t75" style="width:320.75pt;height:116.4pt" o:ole="">
            <v:imagedata r:id="rId59" o:title=""/>
          </v:shape>
          <o:OLEObject Type="Embed" ProgID="Excel.Sheet.12" ShapeID="_x0000_i1026" DrawAspect="Content" ObjectID="_1547620554" r:id="rId60"/>
        </w:object>
      </w:r>
    </w:p>
    <w:p w:rsidR="001811EC" w:rsidRDefault="001811EC">
      <w:pPr>
        <w:jc w:val="both"/>
        <w:rPr>
          <w:rFonts w:ascii="Arial" w:hAnsi="Arial" w:cs="Arial"/>
          <w:i/>
          <w:sz w:val="22"/>
          <w:szCs w:val="22"/>
        </w:rPr>
      </w:pPr>
    </w:p>
    <w:p w:rsidR="001811EC" w:rsidRDefault="001811EC">
      <w:pPr>
        <w:jc w:val="both"/>
        <w:rPr>
          <w:rFonts w:ascii="Arial" w:hAnsi="Arial" w:cs="Arial"/>
          <w:i/>
          <w:sz w:val="22"/>
          <w:szCs w:val="22"/>
        </w:rPr>
      </w:pPr>
    </w:p>
    <w:p w:rsidR="001811EC" w:rsidRDefault="001811EC">
      <w:pPr>
        <w:jc w:val="both"/>
        <w:rPr>
          <w:rFonts w:ascii="Arial" w:hAnsi="Arial" w:cs="Arial"/>
          <w:i/>
          <w:sz w:val="22"/>
          <w:szCs w:val="22"/>
        </w:rPr>
      </w:pPr>
    </w:p>
    <w:p w:rsidR="001811EC" w:rsidRDefault="002121F5">
      <w:pPr>
        <w:pBdr>
          <w:top w:val="single" w:sz="4" w:space="1" w:color="auto"/>
          <w:left w:val="single" w:sz="4" w:space="4" w:color="auto"/>
          <w:bottom w:val="single" w:sz="4" w:space="1" w:color="auto"/>
          <w:right w:val="single" w:sz="4" w:space="4" w:color="auto"/>
        </w:pBdr>
        <w:spacing w:before="120" w:after="60"/>
        <w:jc w:val="both"/>
        <w:rPr>
          <w:rFonts w:ascii="Arial" w:hAnsi="Arial" w:cs="Arial"/>
          <w:i/>
          <w:sz w:val="22"/>
          <w:szCs w:val="22"/>
        </w:rPr>
      </w:pPr>
      <w:r>
        <w:rPr>
          <w:rFonts w:ascii="Arial" w:hAnsi="Arial" w:cs="Arial"/>
          <w:i/>
          <w:sz w:val="22"/>
          <w:szCs w:val="22"/>
        </w:rPr>
        <w:t>Il disavanzo d’amministrazione di importo corrispondente al disavanzo individuato in sede di rendiconto è stato ripianato secondo le modalità dell’</w:t>
      </w:r>
      <w:hyperlink r:id="rId61" w:history="1">
        <w:r>
          <w:rPr>
            <w:rStyle w:val="Collegamentoipertestuale"/>
            <w:rFonts w:ascii="Arial" w:hAnsi="Arial" w:cs="Arial"/>
            <w:i/>
            <w:sz w:val="22"/>
            <w:szCs w:val="22"/>
          </w:rPr>
          <w:t>art.188 del TUEL</w:t>
        </w:r>
      </w:hyperlink>
      <w:r>
        <w:rPr>
          <w:rFonts w:ascii="Arial" w:hAnsi="Arial" w:cs="Arial"/>
          <w:i/>
          <w:sz w:val="22"/>
          <w:szCs w:val="22"/>
        </w:rPr>
        <w:t>, con atto consiliare sul quale l’organo di revisione ha espresso parere, come segue:</w:t>
      </w:r>
    </w:p>
    <w:p w:rsidR="001811EC" w:rsidRDefault="002121F5">
      <w:pPr>
        <w:pStyle w:val="Paragrafoelenco"/>
        <w:numPr>
          <w:ilvl w:val="0"/>
          <w:numId w:val="12"/>
        </w:numPr>
        <w:pBdr>
          <w:top w:val="single" w:sz="4" w:space="1" w:color="auto"/>
          <w:left w:val="single" w:sz="4" w:space="4" w:color="auto"/>
          <w:bottom w:val="single" w:sz="4" w:space="1" w:color="auto"/>
          <w:right w:val="single" w:sz="4" w:space="4" w:color="auto"/>
        </w:pBdr>
        <w:spacing w:before="120" w:after="60"/>
        <w:jc w:val="both"/>
        <w:rPr>
          <w:rFonts w:ascii="Arial" w:hAnsi="Arial" w:cs="Arial"/>
          <w:i/>
          <w:sz w:val="22"/>
          <w:szCs w:val="22"/>
        </w:rPr>
      </w:pPr>
      <w:r>
        <w:rPr>
          <w:rFonts w:ascii="Arial" w:hAnsi="Arial" w:cs="Arial"/>
          <w:i/>
          <w:sz w:val="22"/>
          <w:szCs w:val="22"/>
        </w:rPr>
        <w:t xml:space="preserve">applicato all’esercizio in corso contestualmente alla delibera di approvazione del rendiconto; </w:t>
      </w:r>
    </w:p>
    <w:p w:rsidR="001811EC" w:rsidRDefault="002121F5">
      <w:pPr>
        <w:pStyle w:val="Paragrafoelenco"/>
        <w:numPr>
          <w:ilvl w:val="0"/>
          <w:numId w:val="12"/>
        </w:numPr>
        <w:pBdr>
          <w:top w:val="single" w:sz="4" w:space="1" w:color="auto"/>
          <w:left w:val="single" w:sz="4" w:space="4" w:color="auto"/>
          <w:bottom w:val="single" w:sz="4" w:space="1" w:color="auto"/>
          <w:right w:val="single" w:sz="4" w:space="4" w:color="auto"/>
        </w:pBdr>
        <w:spacing w:before="120" w:after="60"/>
        <w:jc w:val="both"/>
        <w:rPr>
          <w:rFonts w:ascii="Arial" w:hAnsi="Arial" w:cs="Arial"/>
          <w:sz w:val="22"/>
          <w:szCs w:val="22"/>
        </w:rPr>
      </w:pPr>
      <w:r>
        <w:rPr>
          <w:rFonts w:ascii="Arial" w:hAnsi="Arial" w:cs="Arial"/>
          <w:i/>
          <w:sz w:val="22"/>
          <w:szCs w:val="22"/>
        </w:rPr>
        <w:t xml:space="preserve">ripianato negli esercizi successivi non oltre la data della </w:t>
      </w:r>
      <w:proofErr w:type="spellStart"/>
      <w:r>
        <w:rPr>
          <w:rFonts w:ascii="Arial" w:hAnsi="Arial" w:cs="Arial"/>
          <w:i/>
          <w:sz w:val="22"/>
          <w:szCs w:val="22"/>
        </w:rPr>
        <w:t>consiliatura</w:t>
      </w:r>
      <w:proofErr w:type="spellEnd"/>
      <w:r>
        <w:rPr>
          <w:rFonts w:ascii="Arial" w:hAnsi="Arial" w:cs="Arial"/>
          <w:i/>
          <w:sz w:val="22"/>
          <w:szCs w:val="22"/>
        </w:rPr>
        <w:t xml:space="preserve"> con l’adozione di un piano di</w:t>
      </w:r>
      <w:r>
        <w:rPr>
          <w:rFonts w:ascii="Arial" w:hAnsi="Arial" w:cs="Arial"/>
          <w:sz w:val="22"/>
          <w:szCs w:val="22"/>
        </w:rPr>
        <w:t xml:space="preserve"> rientro che individua i mezzi per il ripiano.</w:t>
      </w:r>
    </w:p>
    <w:p w:rsidR="001811EC" w:rsidRDefault="001811EC">
      <w:pPr>
        <w:pStyle w:val="Paragrafoelenco"/>
        <w:spacing w:before="120" w:after="60"/>
        <w:ind w:left="360"/>
        <w:jc w:val="both"/>
        <w:rPr>
          <w:rFonts w:ascii="Arial" w:hAnsi="Arial" w:cs="Arial"/>
          <w:sz w:val="22"/>
          <w:szCs w:val="22"/>
        </w:rPr>
      </w:pPr>
    </w:p>
    <w:p w:rsidR="001811EC" w:rsidRDefault="001811EC">
      <w:pPr>
        <w:jc w:val="both"/>
        <w:rPr>
          <w:rFonts w:ascii="Arial" w:hAnsi="Arial" w:cs="Arial"/>
          <w:sz w:val="22"/>
          <w:szCs w:val="22"/>
        </w:rPr>
      </w:pPr>
    </w:p>
    <w:p w:rsidR="001811EC" w:rsidRDefault="002121F5">
      <w:pPr>
        <w:pBdr>
          <w:top w:val="single" w:sz="4" w:space="1" w:color="auto"/>
          <w:left w:val="single" w:sz="4" w:space="4" w:color="auto"/>
          <w:bottom w:val="single" w:sz="4" w:space="1" w:color="auto"/>
          <w:right w:val="single" w:sz="4" w:space="4" w:color="auto"/>
        </w:pBdr>
        <w:jc w:val="both"/>
        <w:rPr>
          <w:rFonts w:ascii="Arial" w:hAnsi="Arial" w:cs="Arial"/>
          <w:i/>
          <w:sz w:val="22"/>
          <w:szCs w:val="22"/>
        </w:rPr>
      </w:pPr>
      <w:r>
        <w:rPr>
          <w:rFonts w:ascii="Arial" w:hAnsi="Arial" w:cs="Arial"/>
          <w:i/>
          <w:sz w:val="22"/>
          <w:szCs w:val="22"/>
        </w:rPr>
        <w:t xml:space="preserve">Con delibera consiliare n…….. del ……. sulla quale l’organo di revisione ha espresso parere in data………………. con verbale n………………per il maggior disavanzo determinato nel rispetto del </w:t>
      </w:r>
      <w:hyperlink r:id="rId62" w:history="1">
        <w:r>
          <w:rPr>
            <w:rStyle w:val="Collegamentoipertestuale"/>
            <w:rFonts w:ascii="Arial" w:hAnsi="Arial" w:cs="Arial"/>
            <w:i/>
            <w:sz w:val="22"/>
            <w:szCs w:val="22"/>
          </w:rPr>
          <w:t>Decreto del Min. Economia del 2/4/2015</w:t>
        </w:r>
      </w:hyperlink>
      <w:r>
        <w:rPr>
          <w:rFonts w:ascii="Arial" w:hAnsi="Arial" w:cs="Arial"/>
          <w:i/>
          <w:sz w:val="22"/>
          <w:szCs w:val="22"/>
        </w:rPr>
        <w:t>, è stato disposto il ripiano in ………esercizi (</w:t>
      </w:r>
      <w:r>
        <w:rPr>
          <w:rFonts w:ascii="Arial" w:hAnsi="Arial" w:cs="Arial"/>
          <w:i/>
          <w:color w:val="365F91" w:themeColor="accent1" w:themeShade="BF"/>
          <w:sz w:val="22"/>
          <w:szCs w:val="22"/>
        </w:rPr>
        <w:t xml:space="preserve">non più di trenta anni) </w:t>
      </w:r>
      <w:r>
        <w:rPr>
          <w:rFonts w:ascii="Arial" w:hAnsi="Arial" w:cs="Arial"/>
          <w:i/>
          <w:sz w:val="22"/>
          <w:szCs w:val="22"/>
        </w:rPr>
        <w:t>a quote annuali costanti  di euro…………………..</w:t>
      </w:r>
    </w:p>
    <w:p w:rsidR="001811EC" w:rsidRDefault="001811EC">
      <w:pPr>
        <w:jc w:val="both"/>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(nel caso di piano di rientro) L’organo di revisione ha verificato il rispetto del piano di rientro formulando sulla relazione semestrale del Sindaco parere favorevole con verbali n…… del…..(oppure: L’organo di revisione ha rilevato come indicato nei verbali n……. del……. Il mancato rispetto del piano di rientro e a tal fine ritiene necessario che nelle previsioni 2017/2019 sia data copertura al mancato rientro.)</w:t>
      </w:r>
    </w:p>
    <w:p w:rsidR="001811EC" w:rsidRDefault="002121F5">
      <w:pPr>
        <w:rPr>
          <w:rFonts w:ascii="Arial" w:hAnsi="Arial" w:cs="Arial"/>
          <w:sz w:val="22"/>
          <w:szCs w:val="22"/>
        </w:rPr>
      </w:pPr>
      <w:r>
        <w:rPr>
          <w:rFonts w:ascii="Arial" w:hAnsi="Arial" w:cs="Arial"/>
          <w:sz w:val="22"/>
          <w:szCs w:val="22"/>
        </w:rPr>
        <w:t xml:space="preserve">Dalle comunicazioni ricevute non risultano debiti fuori bilancio da riconoscere e finanziare. </w:t>
      </w:r>
    </w:p>
    <w:p w:rsidR="001811EC" w:rsidRDefault="001811EC">
      <w:pPr>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Dalle comunicazioni ricevute e dalle verifiche effettuate non risultano passività potenziali probabili per una entità superiore al fondo accantonato nel risultato d’amministrazione. (oppure) Dalle comunicazioni ricevute e dalle verifiche effettuate risultano passività potenziali probabili di entità superiore al fondo accantonato nel risultato di amministrazione per cui si rende necessario provvedere al finanziamento nel bilancio di previsione 2017/2019.</w:t>
      </w:r>
    </w:p>
    <w:p w:rsidR="001811EC" w:rsidRDefault="001811EC">
      <w:pPr>
        <w:rPr>
          <w:rFonts w:ascii="Arial" w:hAnsi="Arial" w:cs="Arial"/>
          <w:sz w:val="22"/>
          <w:szCs w:val="22"/>
        </w:rPr>
      </w:pPr>
    </w:p>
    <w:p w:rsidR="001811EC" w:rsidRDefault="001811EC">
      <w:pPr>
        <w:tabs>
          <w:tab w:val="num" w:pos="1260"/>
        </w:tabs>
        <w:rPr>
          <w:rFonts w:ascii="Arial" w:hAnsi="Arial" w:cs="Arial"/>
          <w:sz w:val="22"/>
          <w:szCs w:val="22"/>
        </w:rPr>
      </w:pPr>
    </w:p>
    <w:p w:rsidR="001811EC" w:rsidRDefault="002121F5">
      <w:pPr>
        <w:tabs>
          <w:tab w:val="num" w:pos="1260"/>
        </w:tabs>
        <w:rPr>
          <w:rFonts w:ascii="Arial" w:hAnsi="Arial" w:cs="Arial"/>
          <w:sz w:val="22"/>
          <w:szCs w:val="22"/>
        </w:rPr>
      </w:pPr>
      <w:r>
        <w:rPr>
          <w:rFonts w:ascii="Arial" w:hAnsi="Arial" w:cs="Arial"/>
          <w:sz w:val="22"/>
          <w:szCs w:val="22"/>
        </w:rPr>
        <w:t xml:space="preserve">La </w:t>
      </w:r>
      <w:r>
        <w:rPr>
          <w:rFonts w:ascii="Arial" w:hAnsi="Arial" w:cs="Arial"/>
          <w:bCs/>
          <w:sz w:val="22"/>
          <w:szCs w:val="22"/>
        </w:rPr>
        <w:t>situazione di cassa</w:t>
      </w:r>
      <w:r>
        <w:rPr>
          <w:rFonts w:ascii="Arial" w:hAnsi="Arial" w:cs="Arial"/>
          <w:sz w:val="22"/>
          <w:szCs w:val="22"/>
        </w:rPr>
        <w:t xml:space="preserve"> dell´Ente al 31 dicembre degli ultimi tre esercizi presenta i seguenti risultati: </w:t>
      </w:r>
    </w:p>
    <w:p w:rsidR="001811EC" w:rsidRDefault="001811EC">
      <w:pPr>
        <w:tabs>
          <w:tab w:val="num" w:pos="1260"/>
        </w:tabs>
        <w:rPr>
          <w:rFonts w:ascii="Arial" w:hAnsi="Arial" w:cs="Arial"/>
          <w:sz w:val="22"/>
          <w:szCs w:val="22"/>
        </w:rPr>
      </w:pPr>
    </w:p>
    <w:tbl>
      <w:tblPr>
        <w:tblW w:w="8373" w:type="dxa"/>
        <w:jc w:val="center"/>
        <w:tblCellMar>
          <w:left w:w="70" w:type="dxa"/>
          <w:right w:w="70" w:type="dxa"/>
        </w:tblCellMar>
        <w:tblLook w:val="00A0" w:firstRow="1" w:lastRow="0" w:firstColumn="1" w:lastColumn="0" w:noHBand="0" w:noVBand="0"/>
      </w:tblPr>
      <w:tblGrid>
        <w:gridCol w:w="4660"/>
        <w:gridCol w:w="1440"/>
        <w:gridCol w:w="1198"/>
        <w:gridCol w:w="1075"/>
      </w:tblGrid>
      <w:tr w:rsidR="001811EC">
        <w:trPr>
          <w:trHeight w:val="255"/>
          <w:jc w:val="center"/>
        </w:trPr>
        <w:tc>
          <w:tcPr>
            <w:tcW w:w="4660" w:type="dxa"/>
            <w:tcBorders>
              <w:top w:val="nil"/>
              <w:left w:val="nil"/>
              <w:bottom w:val="nil"/>
              <w:right w:val="single" w:sz="4" w:space="0" w:color="auto"/>
            </w:tcBorders>
            <w:noWrap/>
            <w:vAlign w:val="bottom"/>
          </w:tcPr>
          <w:p w:rsidR="001811EC" w:rsidRDefault="001811EC">
            <w:pPr>
              <w:jc w:val="right"/>
              <w:rPr>
                <w:rFonts w:ascii="Arial" w:hAnsi="Arial" w:cs="Arial"/>
                <w:sz w:val="16"/>
                <w:szCs w:val="16"/>
              </w:rPr>
            </w:pPr>
          </w:p>
        </w:tc>
        <w:tc>
          <w:tcPr>
            <w:tcW w:w="1440" w:type="dxa"/>
            <w:tcBorders>
              <w:top w:val="single" w:sz="4" w:space="0" w:color="auto"/>
              <w:left w:val="nil"/>
              <w:bottom w:val="single" w:sz="4" w:space="0" w:color="auto"/>
              <w:right w:val="single" w:sz="4" w:space="0" w:color="auto"/>
            </w:tcBorders>
            <w:noWrap/>
            <w:vAlign w:val="bottom"/>
          </w:tcPr>
          <w:p w:rsidR="001811EC" w:rsidRDefault="002121F5">
            <w:pPr>
              <w:jc w:val="center"/>
              <w:rPr>
                <w:rFonts w:ascii="Arial" w:hAnsi="Arial" w:cs="Arial"/>
                <w:b/>
                <w:bCs/>
                <w:sz w:val="20"/>
                <w:szCs w:val="20"/>
              </w:rPr>
            </w:pPr>
            <w:r>
              <w:rPr>
                <w:rFonts w:ascii="Arial" w:hAnsi="Arial" w:cs="Arial"/>
                <w:b/>
                <w:bCs/>
                <w:sz w:val="20"/>
                <w:szCs w:val="20"/>
              </w:rPr>
              <w:t>2014</w:t>
            </w:r>
          </w:p>
        </w:tc>
        <w:tc>
          <w:tcPr>
            <w:tcW w:w="1198" w:type="dxa"/>
            <w:tcBorders>
              <w:top w:val="single" w:sz="4" w:space="0" w:color="auto"/>
              <w:left w:val="nil"/>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2015</w:t>
            </w:r>
          </w:p>
        </w:tc>
        <w:tc>
          <w:tcPr>
            <w:tcW w:w="1075" w:type="dxa"/>
            <w:tcBorders>
              <w:top w:val="single" w:sz="4" w:space="0" w:color="auto"/>
              <w:left w:val="nil"/>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2016</w:t>
            </w:r>
          </w:p>
        </w:tc>
      </w:tr>
      <w:tr w:rsidR="001811EC">
        <w:trPr>
          <w:trHeight w:val="255"/>
          <w:jc w:val="center"/>
        </w:trPr>
        <w:tc>
          <w:tcPr>
            <w:tcW w:w="4660" w:type="dxa"/>
            <w:tcBorders>
              <w:top w:val="single" w:sz="4" w:space="0" w:color="auto"/>
              <w:left w:val="single" w:sz="4" w:space="0" w:color="auto"/>
              <w:bottom w:val="single" w:sz="4" w:space="0" w:color="auto"/>
              <w:right w:val="single" w:sz="4" w:space="0" w:color="auto"/>
            </w:tcBorders>
            <w:vAlign w:val="center"/>
          </w:tcPr>
          <w:p w:rsidR="001811EC" w:rsidRDefault="002121F5">
            <w:pPr>
              <w:rPr>
                <w:rFonts w:ascii="Arial" w:hAnsi="Arial" w:cs="Arial"/>
                <w:b/>
                <w:bCs/>
                <w:sz w:val="20"/>
                <w:szCs w:val="20"/>
              </w:rPr>
            </w:pPr>
            <w:r>
              <w:rPr>
                <w:rFonts w:ascii="Arial" w:hAnsi="Arial" w:cs="Arial"/>
                <w:b/>
                <w:bCs/>
                <w:sz w:val="20"/>
                <w:szCs w:val="20"/>
              </w:rPr>
              <w:t>Disponibilità</w:t>
            </w:r>
          </w:p>
        </w:tc>
        <w:tc>
          <w:tcPr>
            <w:tcW w:w="1440" w:type="dxa"/>
            <w:tcBorders>
              <w:top w:val="nil"/>
              <w:left w:val="nil"/>
              <w:bottom w:val="single" w:sz="4" w:space="0" w:color="auto"/>
              <w:right w:val="single" w:sz="4" w:space="0" w:color="auto"/>
            </w:tcBorders>
            <w:noWrap/>
            <w:vAlign w:val="center"/>
          </w:tcPr>
          <w:p w:rsidR="001811EC" w:rsidRDefault="002121F5">
            <w:pPr>
              <w:jc w:val="right"/>
              <w:rPr>
                <w:rFonts w:ascii="Arial" w:hAnsi="Arial" w:cs="Arial"/>
                <w:sz w:val="18"/>
                <w:szCs w:val="18"/>
              </w:rPr>
            </w:pPr>
            <w:r>
              <w:rPr>
                <w:rFonts w:ascii="Arial" w:hAnsi="Arial" w:cs="Arial"/>
                <w:sz w:val="18"/>
                <w:szCs w:val="18"/>
              </w:rPr>
              <w:t>0,00</w:t>
            </w:r>
          </w:p>
        </w:tc>
        <w:tc>
          <w:tcPr>
            <w:tcW w:w="1198" w:type="dxa"/>
            <w:tcBorders>
              <w:top w:val="nil"/>
              <w:left w:val="nil"/>
              <w:bottom w:val="single" w:sz="4" w:space="0" w:color="auto"/>
              <w:right w:val="single" w:sz="4" w:space="0" w:color="auto"/>
            </w:tcBorders>
          </w:tcPr>
          <w:p w:rsidR="001811EC" w:rsidRDefault="002121F5">
            <w:pPr>
              <w:jc w:val="right"/>
              <w:rPr>
                <w:rFonts w:ascii="Arial" w:hAnsi="Arial" w:cs="Arial"/>
                <w:sz w:val="18"/>
                <w:szCs w:val="18"/>
              </w:rPr>
            </w:pPr>
            <w:r>
              <w:rPr>
                <w:rFonts w:ascii="Arial" w:hAnsi="Arial" w:cs="Arial"/>
                <w:sz w:val="18"/>
                <w:szCs w:val="18"/>
              </w:rPr>
              <w:t>0,00</w:t>
            </w:r>
          </w:p>
        </w:tc>
        <w:tc>
          <w:tcPr>
            <w:tcW w:w="1075" w:type="dxa"/>
            <w:tcBorders>
              <w:top w:val="nil"/>
              <w:left w:val="nil"/>
              <w:bottom w:val="single" w:sz="4" w:space="0" w:color="auto"/>
              <w:right w:val="single" w:sz="4" w:space="0" w:color="auto"/>
            </w:tcBorders>
          </w:tcPr>
          <w:p w:rsidR="001811EC" w:rsidRDefault="002121F5">
            <w:pPr>
              <w:jc w:val="right"/>
              <w:rPr>
                <w:rFonts w:ascii="Arial" w:hAnsi="Arial" w:cs="Arial"/>
                <w:sz w:val="18"/>
                <w:szCs w:val="18"/>
              </w:rPr>
            </w:pPr>
            <w:r>
              <w:rPr>
                <w:rFonts w:ascii="Arial" w:hAnsi="Arial" w:cs="Arial"/>
                <w:sz w:val="18"/>
                <w:szCs w:val="18"/>
              </w:rPr>
              <w:t>0,00</w:t>
            </w:r>
          </w:p>
        </w:tc>
      </w:tr>
      <w:tr w:rsidR="001811EC">
        <w:trPr>
          <w:trHeight w:val="255"/>
          <w:jc w:val="center"/>
        </w:trPr>
        <w:tc>
          <w:tcPr>
            <w:tcW w:w="4660" w:type="dxa"/>
            <w:tcBorders>
              <w:top w:val="single" w:sz="4" w:space="0" w:color="auto"/>
              <w:left w:val="single" w:sz="4" w:space="0" w:color="auto"/>
              <w:bottom w:val="single" w:sz="4" w:space="0" w:color="auto"/>
              <w:right w:val="single" w:sz="4" w:space="0" w:color="auto"/>
            </w:tcBorders>
            <w:vAlign w:val="center"/>
          </w:tcPr>
          <w:p w:rsidR="001811EC" w:rsidRDefault="002121F5">
            <w:pPr>
              <w:rPr>
                <w:rFonts w:ascii="Arial" w:hAnsi="Arial" w:cs="Arial"/>
                <w:b/>
                <w:bCs/>
                <w:sz w:val="20"/>
                <w:szCs w:val="20"/>
              </w:rPr>
            </w:pPr>
            <w:r>
              <w:rPr>
                <w:rFonts w:ascii="Arial" w:hAnsi="Arial" w:cs="Arial"/>
                <w:b/>
                <w:bCs/>
                <w:sz w:val="20"/>
                <w:szCs w:val="20"/>
              </w:rPr>
              <w:t>Di cui cassa vincolata</w:t>
            </w:r>
          </w:p>
        </w:tc>
        <w:tc>
          <w:tcPr>
            <w:tcW w:w="1440" w:type="dxa"/>
            <w:tcBorders>
              <w:top w:val="nil"/>
              <w:left w:val="nil"/>
              <w:bottom w:val="single" w:sz="4" w:space="0" w:color="auto"/>
              <w:right w:val="single" w:sz="4" w:space="0" w:color="auto"/>
            </w:tcBorders>
            <w:noWrap/>
            <w:vAlign w:val="center"/>
          </w:tcPr>
          <w:p w:rsidR="001811EC" w:rsidRDefault="002121F5">
            <w:pPr>
              <w:jc w:val="right"/>
              <w:rPr>
                <w:rFonts w:ascii="Arial" w:hAnsi="Arial" w:cs="Arial"/>
                <w:sz w:val="18"/>
                <w:szCs w:val="18"/>
              </w:rPr>
            </w:pPr>
            <w:r>
              <w:rPr>
                <w:rFonts w:ascii="Arial" w:hAnsi="Arial" w:cs="Arial"/>
                <w:sz w:val="18"/>
                <w:szCs w:val="18"/>
              </w:rPr>
              <w:t>0,00</w:t>
            </w:r>
          </w:p>
        </w:tc>
        <w:tc>
          <w:tcPr>
            <w:tcW w:w="1198" w:type="dxa"/>
            <w:tcBorders>
              <w:top w:val="nil"/>
              <w:left w:val="nil"/>
              <w:bottom w:val="single" w:sz="4" w:space="0" w:color="auto"/>
              <w:right w:val="single" w:sz="4" w:space="0" w:color="auto"/>
            </w:tcBorders>
          </w:tcPr>
          <w:p w:rsidR="001811EC" w:rsidRDefault="002121F5">
            <w:pPr>
              <w:jc w:val="right"/>
              <w:rPr>
                <w:rFonts w:ascii="Arial" w:hAnsi="Arial" w:cs="Arial"/>
                <w:sz w:val="18"/>
                <w:szCs w:val="18"/>
              </w:rPr>
            </w:pPr>
            <w:r>
              <w:rPr>
                <w:rFonts w:ascii="Arial" w:hAnsi="Arial" w:cs="Arial"/>
                <w:sz w:val="18"/>
                <w:szCs w:val="18"/>
              </w:rPr>
              <w:t>0,00</w:t>
            </w:r>
          </w:p>
        </w:tc>
        <w:tc>
          <w:tcPr>
            <w:tcW w:w="1075" w:type="dxa"/>
            <w:tcBorders>
              <w:top w:val="nil"/>
              <w:left w:val="nil"/>
              <w:bottom w:val="single" w:sz="4" w:space="0" w:color="auto"/>
              <w:right w:val="single" w:sz="4" w:space="0" w:color="auto"/>
            </w:tcBorders>
          </w:tcPr>
          <w:p w:rsidR="001811EC" w:rsidRDefault="002121F5">
            <w:pPr>
              <w:jc w:val="right"/>
              <w:rPr>
                <w:rFonts w:ascii="Arial" w:hAnsi="Arial" w:cs="Arial"/>
                <w:sz w:val="18"/>
                <w:szCs w:val="18"/>
              </w:rPr>
            </w:pPr>
            <w:r>
              <w:rPr>
                <w:rFonts w:ascii="Arial" w:hAnsi="Arial" w:cs="Arial"/>
                <w:sz w:val="18"/>
                <w:szCs w:val="18"/>
              </w:rPr>
              <w:t>0,00</w:t>
            </w:r>
          </w:p>
        </w:tc>
      </w:tr>
      <w:tr w:rsidR="001811EC">
        <w:trPr>
          <w:trHeight w:val="255"/>
          <w:jc w:val="center"/>
        </w:trPr>
        <w:tc>
          <w:tcPr>
            <w:tcW w:w="4660" w:type="dxa"/>
            <w:tcBorders>
              <w:top w:val="nil"/>
              <w:left w:val="single" w:sz="4" w:space="0" w:color="auto"/>
              <w:bottom w:val="single" w:sz="4" w:space="0" w:color="auto"/>
              <w:right w:val="single" w:sz="4" w:space="0" w:color="auto"/>
            </w:tcBorders>
            <w:vAlign w:val="center"/>
          </w:tcPr>
          <w:p w:rsidR="001811EC" w:rsidRDefault="002121F5">
            <w:pPr>
              <w:rPr>
                <w:rFonts w:ascii="Arial" w:hAnsi="Arial" w:cs="Arial"/>
                <w:b/>
                <w:bCs/>
                <w:sz w:val="20"/>
                <w:szCs w:val="20"/>
              </w:rPr>
            </w:pPr>
            <w:r>
              <w:rPr>
                <w:rFonts w:ascii="Arial" w:hAnsi="Arial" w:cs="Arial"/>
                <w:b/>
                <w:bCs/>
                <w:sz w:val="20"/>
                <w:szCs w:val="20"/>
              </w:rPr>
              <w:t>Anticipazioni non estinte al 31/12</w:t>
            </w:r>
          </w:p>
        </w:tc>
        <w:tc>
          <w:tcPr>
            <w:tcW w:w="1440" w:type="dxa"/>
            <w:tcBorders>
              <w:top w:val="nil"/>
              <w:left w:val="nil"/>
              <w:bottom w:val="single" w:sz="4" w:space="0" w:color="auto"/>
              <w:right w:val="single" w:sz="4" w:space="0" w:color="auto"/>
            </w:tcBorders>
            <w:noWrap/>
            <w:vAlign w:val="center"/>
          </w:tcPr>
          <w:p w:rsidR="001811EC" w:rsidRDefault="002121F5">
            <w:pPr>
              <w:jc w:val="right"/>
              <w:rPr>
                <w:rFonts w:ascii="Arial" w:hAnsi="Arial" w:cs="Arial"/>
                <w:sz w:val="18"/>
                <w:szCs w:val="18"/>
              </w:rPr>
            </w:pPr>
            <w:r>
              <w:rPr>
                <w:rFonts w:ascii="Arial" w:hAnsi="Arial" w:cs="Arial"/>
                <w:sz w:val="18"/>
                <w:szCs w:val="18"/>
              </w:rPr>
              <w:t xml:space="preserve">0,00 </w:t>
            </w:r>
          </w:p>
        </w:tc>
        <w:tc>
          <w:tcPr>
            <w:tcW w:w="1198" w:type="dxa"/>
            <w:tcBorders>
              <w:top w:val="nil"/>
              <w:left w:val="nil"/>
              <w:bottom w:val="single" w:sz="4" w:space="0" w:color="auto"/>
              <w:right w:val="single" w:sz="4" w:space="0" w:color="auto"/>
            </w:tcBorders>
          </w:tcPr>
          <w:p w:rsidR="001811EC" w:rsidRDefault="002121F5">
            <w:pPr>
              <w:jc w:val="right"/>
              <w:rPr>
                <w:rFonts w:ascii="Arial" w:hAnsi="Arial" w:cs="Arial"/>
                <w:sz w:val="18"/>
                <w:szCs w:val="18"/>
              </w:rPr>
            </w:pPr>
            <w:r>
              <w:rPr>
                <w:rFonts w:ascii="Arial" w:hAnsi="Arial" w:cs="Arial"/>
                <w:sz w:val="18"/>
                <w:szCs w:val="18"/>
              </w:rPr>
              <w:t>0,00</w:t>
            </w:r>
          </w:p>
        </w:tc>
        <w:tc>
          <w:tcPr>
            <w:tcW w:w="1075" w:type="dxa"/>
            <w:tcBorders>
              <w:top w:val="nil"/>
              <w:left w:val="nil"/>
              <w:bottom w:val="single" w:sz="4" w:space="0" w:color="auto"/>
              <w:right w:val="single" w:sz="4" w:space="0" w:color="auto"/>
            </w:tcBorders>
          </w:tcPr>
          <w:p w:rsidR="001811EC" w:rsidRDefault="002121F5">
            <w:pPr>
              <w:jc w:val="right"/>
              <w:rPr>
                <w:rFonts w:ascii="Arial" w:hAnsi="Arial" w:cs="Arial"/>
                <w:sz w:val="18"/>
                <w:szCs w:val="18"/>
              </w:rPr>
            </w:pPr>
            <w:r>
              <w:rPr>
                <w:rFonts w:ascii="Arial" w:hAnsi="Arial" w:cs="Arial"/>
                <w:sz w:val="18"/>
                <w:szCs w:val="18"/>
              </w:rPr>
              <w:t>0,00</w:t>
            </w:r>
          </w:p>
        </w:tc>
      </w:tr>
    </w:tbl>
    <w:p w:rsidR="001811EC" w:rsidRDefault="001811EC">
      <w:pPr>
        <w:tabs>
          <w:tab w:val="num" w:pos="1260"/>
        </w:tabs>
        <w:jc w:val="both"/>
        <w:rPr>
          <w:rFonts w:ascii="Arial" w:hAnsi="Arial" w:cs="Arial"/>
          <w:sz w:val="22"/>
          <w:szCs w:val="22"/>
        </w:rPr>
      </w:pPr>
    </w:p>
    <w:p w:rsidR="001811EC" w:rsidRDefault="002121F5">
      <w:pPr>
        <w:jc w:val="both"/>
        <w:rPr>
          <w:rFonts w:ascii="Arial" w:hAnsi="Arial" w:cs="Arial"/>
        </w:rPr>
      </w:pPr>
      <w:r w:rsidRPr="009D4BFF">
        <w:rPr>
          <w:rFonts w:ascii="Arial" w:hAnsi="Arial" w:cs="Arial"/>
          <w:bCs/>
          <w:sz w:val="22"/>
          <w:szCs w:val="22"/>
          <w:highlight w:val="yellow"/>
        </w:rPr>
        <w:t xml:space="preserve">L’ente ha provveduto (o non ha provveduto) a determinare la giacenza di cassa vincolata al 1/1/2015, sulla base del </w:t>
      </w:r>
      <w:hyperlink r:id="rId63" w:history="1">
        <w:r w:rsidRPr="009D4BFF">
          <w:rPr>
            <w:rStyle w:val="Collegamentoipertestuale"/>
            <w:rFonts w:ascii="Arial" w:hAnsi="Arial" w:cs="Arial"/>
            <w:bCs/>
            <w:sz w:val="22"/>
            <w:szCs w:val="22"/>
            <w:highlight w:val="yellow"/>
          </w:rPr>
          <w:t>principio applicato alla contabilità finanziaria allegato 4/2</w:t>
        </w:r>
      </w:hyperlink>
      <w:r w:rsidRPr="009D4BFF">
        <w:rPr>
          <w:rFonts w:ascii="Arial" w:hAnsi="Arial" w:cs="Arial"/>
          <w:bCs/>
          <w:sz w:val="22"/>
          <w:szCs w:val="22"/>
          <w:highlight w:val="yellow"/>
        </w:rPr>
        <w:t xml:space="preserve"> al </w:t>
      </w:r>
      <w:hyperlink r:id="rId64" w:history="1">
        <w:r w:rsidRPr="009D4BFF">
          <w:rPr>
            <w:rStyle w:val="Collegamentoipertestuale"/>
            <w:rFonts w:ascii="Arial" w:hAnsi="Arial" w:cs="Arial"/>
            <w:bCs/>
            <w:sz w:val="22"/>
            <w:szCs w:val="22"/>
            <w:highlight w:val="yellow"/>
          </w:rPr>
          <w:t>d.lgs.118/2011</w:t>
        </w:r>
      </w:hyperlink>
      <w:r w:rsidRPr="009D4BFF">
        <w:rPr>
          <w:rFonts w:ascii="Arial" w:hAnsi="Arial" w:cs="Arial"/>
          <w:bCs/>
          <w:sz w:val="22"/>
          <w:szCs w:val="22"/>
          <w:highlight w:val="yellow"/>
        </w:rPr>
        <w:t xml:space="preserve"> e si è dotato di scritture contabili atte a determinare in ogni momento l’entità della stessa e a rendere possibile la conciliazione con la cassa vincolata del tesoriere.</w:t>
      </w:r>
      <w:r>
        <w:rPr>
          <w:rFonts w:ascii="Arial" w:hAnsi="Arial" w:cs="Arial"/>
        </w:rPr>
        <w:br w:type="page"/>
      </w:r>
    </w:p>
    <w:p w:rsidR="001811EC" w:rsidRDefault="002121F5">
      <w:pPr>
        <w:pStyle w:val="Titolo1"/>
        <w:shd w:val="clear" w:color="auto" w:fill="B6DDE8" w:themeFill="accent5" w:themeFillTint="66"/>
      </w:pPr>
      <w:bookmarkStart w:id="14" w:name="_Toc346838818"/>
      <w:bookmarkStart w:id="15" w:name="_Toc469216197"/>
      <w:r>
        <w:lastRenderedPageBreak/>
        <w:t xml:space="preserve">BILANCIO DI PREVISIONE </w:t>
      </w:r>
      <w:bookmarkEnd w:id="14"/>
      <w:r>
        <w:t>2017-2019</w:t>
      </w:r>
      <w:bookmarkEnd w:id="15"/>
    </w:p>
    <w:p w:rsidR="001811EC" w:rsidRDefault="001811EC">
      <w:pPr>
        <w:pStyle w:val="Corpodeltesto2"/>
        <w:jc w:val="both"/>
        <w:rPr>
          <w:b/>
          <w:sz w:val="20"/>
          <w:u w:val="single"/>
        </w:rPr>
      </w:pPr>
    </w:p>
    <w:p w:rsidR="001811EC" w:rsidRDefault="002121F5">
      <w:pPr>
        <w:autoSpaceDE w:val="0"/>
        <w:autoSpaceDN w:val="0"/>
        <w:adjustRightInd w:val="0"/>
        <w:jc w:val="both"/>
        <w:rPr>
          <w:rFonts w:ascii="Arial" w:hAnsi="Arial" w:cs="Arial"/>
          <w:sz w:val="22"/>
          <w:szCs w:val="22"/>
        </w:rPr>
      </w:pPr>
      <w:bookmarkStart w:id="16" w:name="_Toc346838819"/>
      <w:r>
        <w:rPr>
          <w:rFonts w:ascii="Arial" w:hAnsi="Arial" w:cs="Arial"/>
          <w:sz w:val="22"/>
          <w:szCs w:val="22"/>
        </w:rPr>
        <w:t>L’Organo di revisione ha verificato che tutti i documenti contabili sono stati predisposti e redatti sulla base del sistema di codifica della contabilità armonizzata.</w:t>
      </w:r>
    </w:p>
    <w:p w:rsidR="001811EC" w:rsidRDefault="002121F5">
      <w:pPr>
        <w:autoSpaceDE w:val="0"/>
        <w:autoSpaceDN w:val="0"/>
        <w:adjustRightInd w:val="0"/>
        <w:jc w:val="both"/>
        <w:rPr>
          <w:rFonts w:ascii="Arial" w:hAnsi="Arial" w:cs="Arial"/>
          <w:sz w:val="22"/>
          <w:szCs w:val="22"/>
        </w:rPr>
      </w:pPr>
      <w:r w:rsidRPr="009D4BFF">
        <w:rPr>
          <w:rFonts w:ascii="Arial" w:hAnsi="Arial" w:cs="Arial"/>
          <w:sz w:val="22"/>
          <w:szCs w:val="22"/>
          <w:highlight w:val="yellow"/>
        </w:rPr>
        <w:t>Il bilancio di previsione viene proposto nel rispetto del pareggio finanziario complessivo di competenza e nel rispetto degli equilibri di parte corrente e in conto capitale.</w:t>
      </w:r>
    </w:p>
    <w:p w:rsidR="001811EC" w:rsidRDefault="002121F5">
      <w:pPr>
        <w:autoSpaceDE w:val="0"/>
        <w:autoSpaceDN w:val="0"/>
        <w:adjustRightInd w:val="0"/>
        <w:jc w:val="both"/>
        <w:rPr>
          <w:rFonts w:ascii="Arial" w:hAnsi="Arial" w:cs="Arial"/>
          <w:sz w:val="22"/>
          <w:szCs w:val="22"/>
        </w:rPr>
      </w:pPr>
      <w:r>
        <w:rPr>
          <w:rFonts w:ascii="Arial" w:hAnsi="Arial" w:cs="Arial"/>
          <w:sz w:val="22"/>
          <w:szCs w:val="22"/>
        </w:rPr>
        <w:t xml:space="preserve">Le previsioni di competenza per gli anni 2017, 2018 e 2019 confrontate con le previsioni definitive per l’anno 2016 (o rendiconto 2016) sono così formulate: </w:t>
      </w:r>
    </w:p>
    <w:p w:rsidR="001811EC" w:rsidRDefault="001811EC">
      <w:pPr>
        <w:pStyle w:val="Titolo2"/>
      </w:pPr>
    </w:p>
    <w:p w:rsidR="001811EC" w:rsidRDefault="002121F5">
      <w:pPr>
        <w:pStyle w:val="Titolo2"/>
      </w:pPr>
      <w:bookmarkStart w:id="17" w:name="_Toc469216198"/>
      <w:r>
        <w:t>1. Riepilogo generale entrate e spese per titoli</w:t>
      </w:r>
      <w:bookmarkEnd w:id="16"/>
      <w:bookmarkEnd w:id="17"/>
    </w:p>
    <w:p w:rsidR="001811EC" w:rsidRDefault="001811EC">
      <w:pPr>
        <w:rPr>
          <w:rFonts w:ascii="Arial" w:hAnsi="Arial" w:cs="Arial"/>
        </w:rPr>
      </w:pPr>
    </w:p>
    <w:p w:rsidR="001811EC" w:rsidRDefault="001811EC">
      <w:pPr>
        <w:rPr>
          <w:rFonts w:ascii="Arial" w:hAnsi="Arial" w:cs="Arial"/>
        </w:rPr>
      </w:pPr>
    </w:p>
    <w:p w:rsidR="001811EC" w:rsidRDefault="009716D1">
      <w:pPr>
        <w:ind w:right="-53"/>
        <w:rPr>
          <w:rFonts w:ascii="Arial" w:hAnsi="Arial" w:cs="Arial"/>
        </w:rPr>
      </w:pPr>
      <w:r>
        <w:rPr>
          <w:rFonts w:ascii="Arial" w:hAnsi="Arial" w:cs="Arial"/>
          <w:noProof/>
        </w:rPr>
        <w:pict>
          <v:shape id="_x0000_s1060" type="#_x0000_t75" style="position:absolute;margin-left:0;margin-top:-.1pt;width:476pt;height:314.2pt;z-index:251660288;mso-position-horizontal:left">
            <v:imagedata r:id="rId65" o:title=""/>
            <w10:wrap type="square" side="right"/>
          </v:shape>
          <o:OLEObject Type="Embed" ProgID="Excel.Sheet.8" ShapeID="_x0000_s1060" DrawAspect="Content" ObjectID="_1547620586" r:id="rId66"/>
        </w:pict>
      </w:r>
      <w:r w:rsidR="002121F5">
        <w:rPr>
          <w:rFonts w:ascii="Arial" w:hAnsi="Arial" w:cs="Arial"/>
        </w:rPr>
        <w:br w:type="textWrapping" w:clear="all"/>
      </w:r>
    </w:p>
    <w:p w:rsidR="001811EC" w:rsidRDefault="001811EC">
      <w:pPr>
        <w:pStyle w:val="Titolo2"/>
      </w:pPr>
    </w:p>
    <w:p w:rsidR="001811EC" w:rsidRDefault="001811EC">
      <w:pPr>
        <w:pStyle w:val="Titolo2"/>
      </w:pPr>
    </w:p>
    <w:p w:rsidR="001811EC" w:rsidRDefault="001811EC">
      <w:pPr>
        <w:pStyle w:val="Titolo2"/>
      </w:pPr>
    </w:p>
    <w:p w:rsidR="001811EC" w:rsidRDefault="001811EC">
      <w:pPr>
        <w:pStyle w:val="Titolo2"/>
      </w:pPr>
    </w:p>
    <w:p w:rsidR="001811EC" w:rsidRDefault="001811EC">
      <w:pPr>
        <w:pStyle w:val="Titolo2"/>
      </w:pPr>
    </w:p>
    <w:p w:rsidR="001811EC" w:rsidRDefault="001811EC">
      <w:pPr>
        <w:pStyle w:val="Titolo2"/>
      </w:pPr>
    </w:p>
    <w:p w:rsidR="001811EC" w:rsidRDefault="001811EC">
      <w:pPr>
        <w:pStyle w:val="Titolo2"/>
      </w:pPr>
    </w:p>
    <w:p w:rsidR="001811EC" w:rsidRDefault="001811EC">
      <w:pPr>
        <w:pStyle w:val="Titolo2"/>
      </w:pPr>
    </w:p>
    <w:p w:rsidR="001811EC" w:rsidRDefault="001811EC">
      <w:pPr>
        <w:pStyle w:val="Titolo2"/>
      </w:pPr>
    </w:p>
    <w:p w:rsidR="001811EC" w:rsidRDefault="001811EC">
      <w:pPr>
        <w:pStyle w:val="Titolo2"/>
      </w:pPr>
    </w:p>
    <w:p w:rsidR="001811EC" w:rsidRDefault="001811EC">
      <w:pPr>
        <w:pStyle w:val="Titolo2"/>
      </w:pPr>
    </w:p>
    <w:p w:rsidR="001811EC" w:rsidRDefault="001811EC">
      <w:pPr>
        <w:pStyle w:val="Titolo2"/>
      </w:pPr>
    </w:p>
    <w:p w:rsidR="001811EC" w:rsidRDefault="001811EC">
      <w:pPr>
        <w:pStyle w:val="Titolo2"/>
      </w:pPr>
    </w:p>
    <w:bookmarkStart w:id="18" w:name="_MON_1513327244"/>
    <w:bookmarkEnd w:id="18"/>
    <w:p w:rsidR="001811EC" w:rsidRDefault="002121F5">
      <w:pPr>
        <w:jc w:val="center"/>
        <w:rPr>
          <w:rFonts w:ascii="Arial" w:hAnsi="Arial" w:cs="Arial"/>
        </w:rPr>
      </w:pPr>
      <w:r w:rsidRPr="00FF759A">
        <w:rPr>
          <w:rFonts w:ascii="Arial" w:hAnsi="Arial" w:cs="Arial"/>
        </w:rPr>
        <w:object w:dxaOrig="10236" w:dyaOrig="11921">
          <v:shape id="_x0000_i1027" type="#_x0000_t75" style="width:512.9pt;height:597.95pt" o:ole="">
            <v:imagedata r:id="rId67" o:title=""/>
          </v:shape>
          <o:OLEObject Type="Embed" ProgID="Excel.Sheet.12" ShapeID="_x0000_i1027" DrawAspect="Content" ObjectID="_1547620555" r:id="rId68"/>
        </w:object>
      </w:r>
    </w:p>
    <w:p w:rsidR="00B27232" w:rsidRPr="00A608DA" w:rsidRDefault="00B27232">
      <w:pPr>
        <w:pStyle w:val="Corpodeltesto2"/>
        <w:spacing w:before="120"/>
        <w:jc w:val="both"/>
        <w:rPr>
          <w:i/>
          <w:szCs w:val="22"/>
        </w:rPr>
      </w:pPr>
      <w:r w:rsidRPr="00A608DA">
        <w:rPr>
          <w:i/>
          <w:szCs w:val="22"/>
        </w:rPr>
        <w:t>(</w:t>
      </w:r>
      <w:r w:rsidR="00D76E15" w:rsidRPr="00A608DA">
        <w:rPr>
          <w:i/>
          <w:szCs w:val="22"/>
        </w:rPr>
        <w:t>L</w:t>
      </w:r>
      <w:r w:rsidRPr="00A608DA">
        <w:rPr>
          <w:i/>
          <w:szCs w:val="22"/>
        </w:rPr>
        <w:t>’utilizzo dell’avanzo di amministrazione presunto in sede di previsione è consentito per la sola parte costit</w:t>
      </w:r>
      <w:r w:rsidR="00D76E15" w:rsidRPr="00A608DA">
        <w:rPr>
          <w:i/>
          <w:szCs w:val="22"/>
        </w:rPr>
        <w:t>uita dai fondi vincolati e dalle</w:t>
      </w:r>
      <w:r w:rsidRPr="00A608DA">
        <w:rPr>
          <w:i/>
          <w:szCs w:val="22"/>
        </w:rPr>
        <w:t xml:space="preserve"> somme accantonate</w:t>
      </w:r>
      <w:r w:rsidR="00D76E15" w:rsidRPr="00A608DA">
        <w:rPr>
          <w:i/>
          <w:szCs w:val="22"/>
        </w:rPr>
        <w:t xml:space="preserve"> e a condizione che sia approvato da parte dell’organo esecutivo il prospetto aggiornato del risultato presunto d’amministrazione)</w:t>
      </w:r>
      <w:r w:rsidR="00A608DA" w:rsidRPr="00A608DA">
        <w:rPr>
          <w:i/>
          <w:szCs w:val="22"/>
        </w:rPr>
        <w:t>.</w:t>
      </w:r>
      <w:r w:rsidRPr="00A608DA">
        <w:rPr>
          <w:i/>
          <w:szCs w:val="22"/>
        </w:rPr>
        <w:t xml:space="preserve"> </w:t>
      </w:r>
    </w:p>
    <w:p w:rsidR="001811EC" w:rsidRDefault="002121F5">
      <w:pPr>
        <w:pStyle w:val="Corpodeltesto2"/>
        <w:spacing w:before="120"/>
        <w:jc w:val="both"/>
        <w:rPr>
          <w:szCs w:val="22"/>
        </w:rPr>
      </w:pPr>
      <w:r>
        <w:rPr>
          <w:szCs w:val="22"/>
        </w:rPr>
        <w:lastRenderedPageBreak/>
        <w:t xml:space="preserve">Le previsioni di competenza rispettano il </w:t>
      </w:r>
      <w:hyperlink r:id="rId69" w:history="1">
        <w:r>
          <w:rPr>
            <w:rStyle w:val="Collegamentoipertestuale"/>
            <w:rFonts w:cs="Arial"/>
            <w:szCs w:val="22"/>
          </w:rPr>
          <w:t>principio generale n.16</w:t>
        </w:r>
      </w:hyperlink>
      <w:r>
        <w:rPr>
          <w:szCs w:val="22"/>
        </w:rPr>
        <w:t xml:space="preserve"> e rappresentano le entrate e le spese che si prevede saranno esigibili in ciascuno degli esercizi considerati anche se l’obbligazione giuridica è sorta in esercizi precedenti.</w:t>
      </w:r>
    </w:p>
    <w:p w:rsidR="001811EC" w:rsidRDefault="001811EC">
      <w:pPr>
        <w:pStyle w:val="Corpodeltesto2"/>
        <w:spacing w:before="120"/>
        <w:jc w:val="both"/>
        <w:rPr>
          <w:szCs w:val="22"/>
        </w:rPr>
      </w:pPr>
    </w:p>
    <w:p w:rsidR="001811EC" w:rsidRDefault="002121F5">
      <w:pPr>
        <w:rPr>
          <w:rFonts w:ascii="Arial" w:hAnsi="Arial" w:cs="Arial"/>
          <w:b/>
          <w:sz w:val="22"/>
          <w:szCs w:val="22"/>
          <w:u w:val="single"/>
        </w:rPr>
      </w:pPr>
      <w:r>
        <w:rPr>
          <w:rFonts w:ascii="Arial" w:hAnsi="Arial" w:cs="Arial"/>
          <w:b/>
          <w:sz w:val="22"/>
          <w:szCs w:val="22"/>
          <w:u w:val="single"/>
        </w:rPr>
        <w:t>1.1 Disavanzo o avanzo tecnico</w:t>
      </w:r>
    </w:p>
    <w:p w:rsidR="001811EC" w:rsidRDefault="002121F5">
      <w:pPr>
        <w:pStyle w:val="provvr0"/>
        <w:rPr>
          <w:rFonts w:ascii="Arial" w:hAnsi="Arial" w:cs="Arial"/>
          <w:color w:val="000000"/>
          <w:sz w:val="22"/>
          <w:szCs w:val="22"/>
        </w:rPr>
      </w:pPr>
      <w:r>
        <w:rPr>
          <w:rFonts w:ascii="Arial" w:hAnsi="Arial" w:cs="Arial"/>
          <w:sz w:val="22"/>
          <w:szCs w:val="22"/>
        </w:rPr>
        <w:t>Il totale generale delle spese previste è superiore al totale generale delle entrate per euro……………………. Tale differenza deriva dal disavanzo tecnico come previsto dal comma 13 dell’</w:t>
      </w:r>
      <w:hyperlink r:id="rId70" w:history="1">
        <w:r>
          <w:rPr>
            <w:rStyle w:val="Collegamentoipertestuale"/>
            <w:rFonts w:ascii="Arial" w:hAnsi="Arial" w:cs="Arial"/>
            <w:sz w:val="22"/>
            <w:szCs w:val="22"/>
          </w:rPr>
          <w:t xml:space="preserve">art.3 del </w:t>
        </w:r>
        <w:proofErr w:type="spellStart"/>
        <w:r>
          <w:rPr>
            <w:rStyle w:val="Collegamentoipertestuale"/>
            <w:rFonts w:ascii="Arial" w:hAnsi="Arial" w:cs="Arial"/>
            <w:sz w:val="22"/>
            <w:szCs w:val="22"/>
          </w:rPr>
          <w:t>D.Lgs</w:t>
        </w:r>
        <w:proofErr w:type="spellEnd"/>
        <w:r>
          <w:rPr>
            <w:rStyle w:val="Collegamentoipertestuale"/>
            <w:rFonts w:ascii="Arial" w:hAnsi="Arial" w:cs="Arial"/>
            <w:sz w:val="22"/>
            <w:szCs w:val="22"/>
          </w:rPr>
          <w:t xml:space="preserve"> 118/2011</w:t>
        </w:r>
      </w:hyperlink>
      <w:r>
        <w:rPr>
          <w:rFonts w:ascii="Arial" w:hAnsi="Arial" w:cs="Arial"/>
          <w:sz w:val="22"/>
          <w:szCs w:val="22"/>
        </w:rPr>
        <w:t xml:space="preserve">, quando a seguito del </w:t>
      </w:r>
      <w:proofErr w:type="spellStart"/>
      <w:r>
        <w:rPr>
          <w:rFonts w:ascii="Arial" w:hAnsi="Arial" w:cs="Arial"/>
          <w:sz w:val="22"/>
          <w:szCs w:val="22"/>
        </w:rPr>
        <w:t>riaccertamento</w:t>
      </w:r>
      <w:proofErr w:type="spellEnd"/>
      <w:r>
        <w:rPr>
          <w:rFonts w:ascii="Arial" w:hAnsi="Arial" w:cs="Arial"/>
          <w:sz w:val="22"/>
          <w:szCs w:val="22"/>
        </w:rPr>
        <w:t xml:space="preserve"> straordinario i </w:t>
      </w:r>
      <w:r>
        <w:rPr>
          <w:rFonts w:ascii="Arial" w:hAnsi="Arial" w:cs="Arial"/>
          <w:color w:val="000000"/>
          <w:sz w:val="22"/>
          <w:szCs w:val="22"/>
        </w:rPr>
        <w:t xml:space="preserve">residui passivi </w:t>
      </w:r>
      <w:proofErr w:type="spellStart"/>
      <w:r>
        <w:rPr>
          <w:rFonts w:ascii="Arial" w:hAnsi="Arial" w:cs="Arial"/>
          <w:color w:val="000000"/>
          <w:sz w:val="22"/>
          <w:szCs w:val="22"/>
        </w:rPr>
        <w:t>reimputati</w:t>
      </w:r>
      <w:proofErr w:type="spellEnd"/>
      <w:r>
        <w:rPr>
          <w:rFonts w:ascii="Arial" w:hAnsi="Arial" w:cs="Arial"/>
          <w:color w:val="000000"/>
          <w:sz w:val="22"/>
          <w:szCs w:val="22"/>
        </w:rPr>
        <w:t xml:space="preserve"> ad un esercizio sono di importo superiore alla somma del fondo pluriennale vincolato stanziato in entrata e dei residui attivi </w:t>
      </w:r>
      <w:proofErr w:type="spellStart"/>
      <w:r>
        <w:rPr>
          <w:rFonts w:ascii="Arial" w:hAnsi="Arial" w:cs="Arial"/>
          <w:color w:val="000000"/>
          <w:sz w:val="22"/>
          <w:szCs w:val="22"/>
        </w:rPr>
        <w:t>reimputati</w:t>
      </w:r>
      <w:proofErr w:type="spellEnd"/>
      <w:r>
        <w:rPr>
          <w:rFonts w:ascii="Arial" w:hAnsi="Arial" w:cs="Arial"/>
          <w:color w:val="000000"/>
          <w:sz w:val="22"/>
          <w:szCs w:val="22"/>
        </w:rPr>
        <w:t xml:space="preserve"> al medesimo esercizio. La differenza può essere finanziata con le risorse dell'esercizio o costituire un disavanzo tecnico da coprirsi, nei bilanci degli esercizi successivi con i residui attivi </w:t>
      </w:r>
      <w:proofErr w:type="spellStart"/>
      <w:r>
        <w:rPr>
          <w:rFonts w:ascii="Arial" w:hAnsi="Arial" w:cs="Arial"/>
          <w:color w:val="000000"/>
          <w:sz w:val="22"/>
          <w:szCs w:val="22"/>
        </w:rPr>
        <w:t>reimputati</w:t>
      </w:r>
      <w:proofErr w:type="spellEnd"/>
      <w:r>
        <w:rPr>
          <w:rFonts w:ascii="Arial" w:hAnsi="Arial" w:cs="Arial"/>
          <w:color w:val="000000"/>
          <w:sz w:val="22"/>
          <w:szCs w:val="22"/>
        </w:rPr>
        <w:t xml:space="preserve"> a tali esercizi eccedenti rispetto alla somma dei residui passivi </w:t>
      </w:r>
      <w:proofErr w:type="spellStart"/>
      <w:r>
        <w:rPr>
          <w:rFonts w:ascii="Arial" w:hAnsi="Arial" w:cs="Arial"/>
          <w:color w:val="000000"/>
          <w:sz w:val="22"/>
          <w:szCs w:val="22"/>
        </w:rPr>
        <w:t>reimputati</w:t>
      </w:r>
      <w:proofErr w:type="spellEnd"/>
      <w:r>
        <w:rPr>
          <w:rFonts w:ascii="Arial" w:hAnsi="Arial" w:cs="Arial"/>
          <w:color w:val="000000"/>
          <w:sz w:val="22"/>
          <w:szCs w:val="22"/>
        </w:rPr>
        <w:t xml:space="preserve"> e del fondo pluriennale vincolato di entrata. Gli esercizi per i quali si è determinato il disavanzo tecnico possono essere approvati in disavanzo di competenza, per un importo non superiore al disavanzo tecnico.</w:t>
      </w:r>
    </w:p>
    <w:p w:rsidR="001811EC" w:rsidRDefault="002121F5">
      <w:pPr>
        <w:spacing w:before="100" w:beforeAutospacing="1" w:after="100" w:afterAutospacing="1"/>
        <w:jc w:val="both"/>
        <w:rPr>
          <w:rFonts w:ascii="Arial" w:hAnsi="Arial" w:cs="Arial"/>
          <w:color w:val="000000"/>
          <w:sz w:val="22"/>
          <w:szCs w:val="22"/>
        </w:rPr>
      </w:pPr>
      <w:r>
        <w:rPr>
          <w:rFonts w:ascii="Arial" w:hAnsi="Arial" w:cs="Arial"/>
          <w:sz w:val="22"/>
          <w:szCs w:val="22"/>
        </w:rPr>
        <w:t>Il totale generale delle spese previste è inferiore al totale generale delle entrate per euro……………………: Tale differenza deriva dall’avanzo tecnico</w:t>
      </w:r>
      <w:r>
        <w:rPr>
          <w:rFonts w:ascii="Arial" w:hAnsi="Arial" w:cs="Arial"/>
          <w:color w:val="000000"/>
          <w:sz w:val="22"/>
          <w:szCs w:val="22"/>
        </w:rPr>
        <w:t xml:space="preserve"> come previsto dal comma 14 dell’</w:t>
      </w:r>
      <w:hyperlink r:id="rId71" w:history="1">
        <w:r>
          <w:rPr>
            <w:rStyle w:val="Collegamentoipertestuale"/>
            <w:rFonts w:ascii="Arial" w:hAnsi="Arial" w:cs="Arial"/>
            <w:sz w:val="22"/>
            <w:szCs w:val="22"/>
          </w:rPr>
          <w:t>art.3 del D.Lgs.118/2011</w:t>
        </w:r>
      </w:hyperlink>
      <w:r>
        <w:rPr>
          <w:rFonts w:ascii="Arial" w:hAnsi="Arial" w:cs="Arial"/>
          <w:color w:val="000000"/>
          <w:sz w:val="22"/>
          <w:szCs w:val="22"/>
        </w:rPr>
        <w:t xml:space="preserve">, nella ipotesi in cui a seguito del </w:t>
      </w:r>
      <w:proofErr w:type="spellStart"/>
      <w:r>
        <w:rPr>
          <w:rFonts w:ascii="Arial" w:hAnsi="Arial" w:cs="Arial"/>
          <w:color w:val="000000"/>
          <w:sz w:val="22"/>
          <w:szCs w:val="22"/>
        </w:rPr>
        <w:t>riaccertamento</w:t>
      </w:r>
      <w:proofErr w:type="spellEnd"/>
      <w:r>
        <w:rPr>
          <w:rFonts w:ascii="Arial" w:hAnsi="Arial" w:cs="Arial"/>
          <w:color w:val="000000"/>
          <w:sz w:val="22"/>
          <w:szCs w:val="22"/>
        </w:rPr>
        <w:t xml:space="preserve"> straordinario,  i residui attivi </w:t>
      </w:r>
      <w:proofErr w:type="spellStart"/>
      <w:r>
        <w:rPr>
          <w:rFonts w:ascii="Arial" w:hAnsi="Arial" w:cs="Arial"/>
          <w:color w:val="000000"/>
          <w:sz w:val="22"/>
          <w:szCs w:val="22"/>
        </w:rPr>
        <w:t>reimputati</w:t>
      </w:r>
      <w:proofErr w:type="spellEnd"/>
      <w:r>
        <w:rPr>
          <w:rFonts w:ascii="Arial" w:hAnsi="Arial" w:cs="Arial"/>
          <w:color w:val="000000"/>
          <w:sz w:val="22"/>
          <w:szCs w:val="22"/>
        </w:rPr>
        <w:t xml:space="preserve"> ad un esercizio sono di importo superiore alla somma del fondo pluriennale vincolato stanziato in entrata e dei residui passivi </w:t>
      </w:r>
      <w:proofErr w:type="spellStart"/>
      <w:r>
        <w:rPr>
          <w:rFonts w:ascii="Arial" w:hAnsi="Arial" w:cs="Arial"/>
          <w:color w:val="000000"/>
          <w:sz w:val="22"/>
          <w:szCs w:val="22"/>
        </w:rPr>
        <w:t>reimputati</w:t>
      </w:r>
      <w:proofErr w:type="spellEnd"/>
      <w:r>
        <w:rPr>
          <w:rFonts w:ascii="Arial" w:hAnsi="Arial" w:cs="Arial"/>
          <w:color w:val="000000"/>
          <w:sz w:val="22"/>
          <w:szCs w:val="22"/>
        </w:rPr>
        <w:t xml:space="preserve"> nel medesimo esercizio, tale differenza è vincolata alla copertura dell'eventuale eccedenza degli impegni </w:t>
      </w:r>
      <w:proofErr w:type="spellStart"/>
      <w:r>
        <w:rPr>
          <w:rFonts w:ascii="Arial" w:hAnsi="Arial" w:cs="Arial"/>
          <w:color w:val="000000"/>
          <w:sz w:val="22"/>
          <w:szCs w:val="22"/>
        </w:rPr>
        <w:t>reimputati</w:t>
      </w:r>
      <w:proofErr w:type="spellEnd"/>
      <w:r>
        <w:rPr>
          <w:rFonts w:ascii="Arial" w:hAnsi="Arial" w:cs="Arial"/>
          <w:color w:val="000000"/>
          <w:sz w:val="22"/>
          <w:szCs w:val="22"/>
        </w:rPr>
        <w:t xml:space="preserve"> agli esercizi successivi rispetto alla somma del fondo pluriennale vincolato di entrata e dei residui attivi. Nel bilancio di previsione dell'esercizio in cui si verifica tale differenza è effettuato un accantonamento di pari importo agli stanziamenti di spesa del fondo pluriennale vincolato.</w:t>
      </w:r>
    </w:p>
    <w:p w:rsidR="001811EC" w:rsidRDefault="001811EC">
      <w:pPr>
        <w:pStyle w:val="Corpodeltesto2"/>
        <w:spacing w:before="120"/>
        <w:jc w:val="both"/>
        <w:rPr>
          <w:sz w:val="20"/>
        </w:rPr>
      </w:pPr>
    </w:p>
    <w:p w:rsidR="001811EC" w:rsidRDefault="002121F5">
      <w:pPr>
        <w:rPr>
          <w:rFonts w:ascii="Arial" w:hAnsi="Arial" w:cs="Arial"/>
          <w:b/>
          <w:sz w:val="22"/>
          <w:szCs w:val="22"/>
          <w:u w:val="single"/>
        </w:rPr>
      </w:pPr>
      <w:r>
        <w:rPr>
          <w:rFonts w:ascii="Arial" w:hAnsi="Arial" w:cs="Arial"/>
          <w:b/>
          <w:sz w:val="22"/>
          <w:szCs w:val="22"/>
          <w:u w:val="single"/>
        </w:rPr>
        <w:t>1.2 Fondo pluriennale vincolato (FPV)</w:t>
      </w:r>
    </w:p>
    <w:p w:rsidR="001811EC" w:rsidRDefault="001811EC">
      <w:pPr>
        <w:autoSpaceDE w:val="0"/>
        <w:autoSpaceDN w:val="0"/>
        <w:adjustRightInd w:val="0"/>
        <w:rPr>
          <w:rFonts w:ascii="Arial" w:hAnsi="Arial" w:cs="Arial"/>
          <w:b/>
          <w:bCs/>
          <w:color w:val="000000"/>
        </w:rPr>
      </w:pPr>
    </w:p>
    <w:p w:rsidR="001811EC" w:rsidRDefault="002121F5">
      <w:pPr>
        <w:autoSpaceDE w:val="0"/>
        <w:autoSpaceDN w:val="0"/>
        <w:adjustRightInd w:val="0"/>
        <w:jc w:val="both"/>
        <w:rPr>
          <w:rFonts w:ascii="Arial" w:hAnsi="Arial" w:cs="Arial"/>
          <w:color w:val="000000"/>
          <w:sz w:val="22"/>
          <w:szCs w:val="22"/>
        </w:rPr>
      </w:pPr>
      <w:r>
        <w:rPr>
          <w:rFonts w:ascii="Arial" w:hAnsi="Arial" w:cs="Arial"/>
          <w:color w:val="000000"/>
          <w:sz w:val="22"/>
          <w:szCs w:val="22"/>
        </w:rPr>
        <w:t>Il Fondo pluriennale vincolato indica le spese che si prevede di impegnare nell’esercizio con imputazione agli esercizi successivi, o già impegnate negli esercizi precedenti con imputazione agli esercizi successivi, la cui copertura è costituita da entrate che si prevede di accertare nel corso dell’esercizio, o da entrate già accertate negli esercizi precedenti e iscritte nel fondo pluriennale previsto tra le entrate.</w:t>
      </w:r>
    </w:p>
    <w:p w:rsidR="001811EC" w:rsidRDefault="002121F5">
      <w:pPr>
        <w:autoSpaceDE w:val="0"/>
        <w:autoSpaceDN w:val="0"/>
        <w:adjustRightInd w:val="0"/>
        <w:jc w:val="both"/>
        <w:rPr>
          <w:rFonts w:ascii="Arial" w:hAnsi="Arial" w:cs="Arial"/>
          <w:color w:val="000000"/>
          <w:sz w:val="22"/>
          <w:szCs w:val="22"/>
        </w:rPr>
      </w:pPr>
      <w:r>
        <w:rPr>
          <w:rFonts w:ascii="Arial" w:hAnsi="Arial" w:cs="Arial"/>
          <w:color w:val="000000"/>
          <w:sz w:val="22"/>
          <w:szCs w:val="22"/>
        </w:rPr>
        <w:t>Il Fondo garantisce la copertura di spese imputate agli esercizi successivi a quello in corso, in cui il Fondo si è generato che nasce dall’esigenza di applicare il principio della competenza finanziaria di cui all’</w:t>
      </w:r>
      <w:hyperlink r:id="rId72" w:history="1">
        <w:r>
          <w:rPr>
            <w:rStyle w:val="Collegamentoipertestuale"/>
            <w:rFonts w:ascii="Arial" w:hAnsi="Arial" w:cs="Arial"/>
            <w:sz w:val="22"/>
            <w:szCs w:val="22"/>
          </w:rPr>
          <w:t>allegato 4/2</w:t>
        </w:r>
      </w:hyperlink>
      <w:r>
        <w:rPr>
          <w:rFonts w:ascii="Arial" w:hAnsi="Arial" w:cs="Arial"/>
          <w:color w:val="000000"/>
          <w:sz w:val="22"/>
          <w:szCs w:val="22"/>
        </w:rPr>
        <w:t xml:space="preserve"> al </w:t>
      </w:r>
      <w:hyperlink r:id="rId73" w:history="1">
        <w:r>
          <w:rPr>
            <w:rStyle w:val="Collegamentoipertestuale"/>
            <w:rFonts w:ascii="Arial" w:hAnsi="Arial" w:cs="Arial"/>
            <w:sz w:val="22"/>
            <w:szCs w:val="22"/>
          </w:rPr>
          <w:t>D.Lgs.118/2011</w:t>
        </w:r>
      </w:hyperlink>
      <w:r>
        <w:rPr>
          <w:rFonts w:ascii="Arial" w:hAnsi="Arial" w:cs="Arial"/>
          <w:color w:val="000000"/>
          <w:sz w:val="22"/>
          <w:szCs w:val="22"/>
        </w:rPr>
        <w:t xml:space="preserve"> e rendere evidente la distanza temporale intercorrente tra l’acquisizione dei finanziamenti e l’effettivo impiego di tali risorse.</w:t>
      </w:r>
    </w:p>
    <w:p w:rsidR="001811EC" w:rsidRDefault="002121F5">
      <w:pPr>
        <w:autoSpaceDE w:val="0"/>
        <w:autoSpaceDN w:val="0"/>
        <w:adjustRightInd w:val="0"/>
        <w:jc w:val="both"/>
        <w:rPr>
          <w:rFonts w:ascii="Arial" w:hAnsi="Arial" w:cs="Arial"/>
          <w:color w:val="000000"/>
          <w:sz w:val="22"/>
          <w:szCs w:val="22"/>
        </w:rPr>
      </w:pPr>
      <w:r>
        <w:rPr>
          <w:rFonts w:ascii="Arial" w:hAnsi="Arial" w:cs="Arial"/>
          <w:color w:val="000000"/>
          <w:sz w:val="22"/>
          <w:szCs w:val="22"/>
        </w:rPr>
        <w:t>L’organo di revisione ha verificato con la tecnica del campionamento:</w:t>
      </w:r>
    </w:p>
    <w:p w:rsidR="001811EC" w:rsidRDefault="002121F5">
      <w:pPr>
        <w:pStyle w:val="Paragrafoelenco"/>
        <w:numPr>
          <w:ilvl w:val="0"/>
          <w:numId w:val="13"/>
        </w:numPr>
        <w:autoSpaceDE w:val="0"/>
        <w:autoSpaceDN w:val="0"/>
        <w:adjustRightInd w:val="0"/>
        <w:jc w:val="both"/>
        <w:rPr>
          <w:rFonts w:ascii="Arial" w:hAnsi="Arial" w:cs="Arial"/>
          <w:color w:val="000000"/>
          <w:sz w:val="22"/>
          <w:szCs w:val="22"/>
        </w:rPr>
      </w:pPr>
      <w:r>
        <w:rPr>
          <w:rFonts w:ascii="Arial" w:hAnsi="Arial" w:cs="Arial"/>
          <w:color w:val="000000"/>
          <w:sz w:val="22"/>
          <w:szCs w:val="22"/>
        </w:rPr>
        <w:t>la fonte di finanziamento del FPV di parte corrente e di parte capitale;</w:t>
      </w:r>
    </w:p>
    <w:p w:rsidR="001811EC" w:rsidRDefault="002121F5">
      <w:pPr>
        <w:pStyle w:val="Paragrafoelenco"/>
        <w:numPr>
          <w:ilvl w:val="0"/>
          <w:numId w:val="13"/>
        </w:numPr>
        <w:autoSpaceDE w:val="0"/>
        <w:autoSpaceDN w:val="0"/>
        <w:adjustRightInd w:val="0"/>
        <w:jc w:val="both"/>
        <w:rPr>
          <w:rFonts w:ascii="Arial" w:hAnsi="Arial" w:cs="Arial"/>
          <w:color w:val="000000"/>
          <w:sz w:val="22"/>
          <w:szCs w:val="22"/>
        </w:rPr>
      </w:pPr>
      <w:r>
        <w:rPr>
          <w:rFonts w:ascii="Arial" w:hAnsi="Arial" w:cs="Arial"/>
          <w:color w:val="000000"/>
          <w:sz w:val="22"/>
          <w:szCs w:val="22"/>
        </w:rPr>
        <w:t>la sussistenza dell’accertamento di entrata relativo a obbligazioni attive scadute ed esigibili che contribuiscono alla formazione del  FPV;</w:t>
      </w:r>
    </w:p>
    <w:p w:rsidR="001811EC" w:rsidRDefault="002121F5">
      <w:pPr>
        <w:pStyle w:val="Paragrafoelenco"/>
        <w:numPr>
          <w:ilvl w:val="0"/>
          <w:numId w:val="13"/>
        </w:numPr>
        <w:autoSpaceDE w:val="0"/>
        <w:autoSpaceDN w:val="0"/>
        <w:adjustRightInd w:val="0"/>
        <w:jc w:val="both"/>
        <w:rPr>
          <w:rFonts w:ascii="Arial" w:hAnsi="Arial" w:cs="Arial"/>
          <w:color w:val="000000"/>
          <w:sz w:val="22"/>
          <w:szCs w:val="22"/>
        </w:rPr>
      </w:pPr>
      <w:r>
        <w:rPr>
          <w:rFonts w:ascii="Arial" w:hAnsi="Arial" w:cs="Arial"/>
          <w:color w:val="000000"/>
          <w:sz w:val="22"/>
          <w:szCs w:val="22"/>
        </w:rPr>
        <w:t>la costituzione del FPV in presenza di obbligazioni giuridiche passive perfezionate;</w:t>
      </w:r>
    </w:p>
    <w:p w:rsidR="001811EC" w:rsidRDefault="002121F5">
      <w:pPr>
        <w:pStyle w:val="Paragrafoelenco"/>
        <w:numPr>
          <w:ilvl w:val="0"/>
          <w:numId w:val="13"/>
        </w:numPr>
        <w:autoSpaceDE w:val="0"/>
        <w:autoSpaceDN w:val="0"/>
        <w:adjustRightInd w:val="0"/>
        <w:jc w:val="both"/>
        <w:rPr>
          <w:rFonts w:ascii="Arial" w:hAnsi="Arial" w:cs="Arial"/>
          <w:color w:val="000000"/>
          <w:sz w:val="22"/>
          <w:szCs w:val="22"/>
        </w:rPr>
      </w:pPr>
      <w:r>
        <w:rPr>
          <w:rFonts w:ascii="Arial" w:hAnsi="Arial" w:cs="Arial"/>
          <w:color w:val="000000"/>
          <w:sz w:val="22"/>
          <w:szCs w:val="22"/>
        </w:rPr>
        <w:t>la corretta applicazione dell’</w:t>
      </w:r>
      <w:hyperlink r:id="rId74" w:history="1">
        <w:r>
          <w:rPr>
            <w:rStyle w:val="Collegamentoipertestuale"/>
            <w:rFonts w:ascii="Arial" w:hAnsi="Arial" w:cs="Arial"/>
            <w:sz w:val="22"/>
            <w:szCs w:val="22"/>
          </w:rPr>
          <w:t>art.183, comma 3 del TUEL</w:t>
        </w:r>
      </w:hyperlink>
      <w:r>
        <w:rPr>
          <w:rFonts w:ascii="Arial" w:hAnsi="Arial" w:cs="Arial"/>
          <w:color w:val="000000"/>
          <w:sz w:val="22"/>
          <w:szCs w:val="22"/>
        </w:rPr>
        <w:t xml:space="preserve"> in ordine al FPV riferito ai lavori pubblici;</w:t>
      </w:r>
    </w:p>
    <w:p w:rsidR="001811EC" w:rsidRDefault="002121F5">
      <w:pPr>
        <w:pStyle w:val="Paragrafoelenco"/>
        <w:numPr>
          <w:ilvl w:val="0"/>
          <w:numId w:val="13"/>
        </w:num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la formulazione di adeguati cronoprogrammi di spesa in ordine alla </w:t>
      </w:r>
      <w:proofErr w:type="spellStart"/>
      <w:r>
        <w:rPr>
          <w:rFonts w:ascii="Arial" w:hAnsi="Arial" w:cs="Arial"/>
          <w:color w:val="000000"/>
          <w:sz w:val="22"/>
          <w:szCs w:val="22"/>
        </w:rPr>
        <w:t>reimputazione</w:t>
      </w:r>
      <w:proofErr w:type="spellEnd"/>
      <w:r>
        <w:rPr>
          <w:rFonts w:ascii="Arial" w:hAnsi="Arial" w:cs="Arial"/>
          <w:color w:val="000000"/>
          <w:sz w:val="22"/>
          <w:szCs w:val="22"/>
        </w:rPr>
        <w:t xml:space="preserve"> di residui passivi coperti dal FPV;</w:t>
      </w:r>
    </w:p>
    <w:p w:rsidR="001811EC" w:rsidRDefault="002121F5">
      <w:pPr>
        <w:pStyle w:val="Paragrafoelenco"/>
        <w:numPr>
          <w:ilvl w:val="0"/>
          <w:numId w:val="13"/>
        </w:numPr>
        <w:autoSpaceDE w:val="0"/>
        <w:autoSpaceDN w:val="0"/>
        <w:adjustRightInd w:val="0"/>
        <w:jc w:val="both"/>
        <w:rPr>
          <w:rFonts w:ascii="Arial" w:hAnsi="Arial" w:cs="Arial"/>
          <w:color w:val="000000"/>
          <w:sz w:val="22"/>
          <w:szCs w:val="22"/>
        </w:rPr>
      </w:pPr>
      <w:r>
        <w:rPr>
          <w:rFonts w:ascii="Arial" w:hAnsi="Arial" w:cs="Arial"/>
          <w:color w:val="000000"/>
          <w:sz w:val="22"/>
          <w:szCs w:val="22"/>
        </w:rPr>
        <w:t>l’esigibilità dei residui passivi coperti da FPV negli esercizi  di riferimento.</w:t>
      </w:r>
    </w:p>
    <w:p w:rsidR="001811EC" w:rsidRDefault="001811EC">
      <w:pPr>
        <w:rPr>
          <w:rFonts w:ascii="Arial" w:hAnsi="Arial" w:cs="Arial"/>
          <w:b/>
        </w:rPr>
      </w:pPr>
    </w:p>
    <w:p w:rsidR="001811EC" w:rsidRDefault="002121F5">
      <w:pPr>
        <w:autoSpaceDE w:val="0"/>
        <w:autoSpaceDN w:val="0"/>
        <w:adjustRightInd w:val="0"/>
        <w:jc w:val="both"/>
        <w:rPr>
          <w:rFonts w:ascii="Arial" w:hAnsi="Arial" w:cs="Arial"/>
          <w:color w:val="000000"/>
          <w:sz w:val="22"/>
          <w:szCs w:val="22"/>
        </w:rPr>
      </w:pPr>
      <w:r>
        <w:rPr>
          <w:rFonts w:ascii="Arial" w:hAnsi="Arial" w:cs="Arial"/>
          <w:color w:val="000000"/>
          <w:sz w:val="22"/>
          <w:szCs w:val="22"/>
        </w:rPr>
        <w:t>In particolare l’entità del fondo pluriennale vincolato iscritta nel titolo secondo è coerente con i crono-programmi di spesa indicati nel programma triennale dei lavori pubblici ed in altri atti di impegno.</w:t>
      </w:r>
    </w:p>
    <w:p w:rsidR="001811EC" w:rsidRDefault="001811EC">
      <w:pPr>
        <w:autoSpaceDE w:val="0"/>
        <w:autoSpaceDN w:val="0"/>
        <w:adjustRightInd w:val="0"/>
        <w:jc w:val="both"/>
        <w:rPr>
          <w:rFonts w:ascii="Arial" w:hAnsi="Arial" w:cs="Arial"/>
          <w:color w:val="000000"/>
          <w:sz w:val="22"/>
          <w:szCs w:val="22"/>
        </w:rPr>
      </w:pPr>
    </w:p>
    <w:p w:rsidR="001811EC" w:rsidRPr="009D4BFF" w:rsidRDefault="002121F5">
      <w:pPr>
        <w:autoSpaceDE w:val="0"/>
        <w:autoSpaceDN w:val="0"/>
        <w:adjustRightInd w:val="0"/>
        <w:jc w:val="both"/>
        <w:rPr>
          <w:rFonts w:ascii="Arial" w:hAnsi="Arial" w:cs="Arial"/>
          <w:color w:val="000000"/>
          <w:sz w:val="22"/>
          <w:szCs w:val="22"/>
          <w:highlight w:val="yellow"/>
        </w:rPr>
      </w:pPr>
      <w:r w:rsidRPr="009D4BFF">
        <w:rPr>
          <w:rFonts w:ascii="Arial" w:hAnsi="Arial" w:cs="Arial"/>
          <w:color w:val="000000"/>
          <w:sz w:val="22"/>
          <w:szCs w:val="22"/>
          <w:highlight w:val="yellow"/>
        </w:rPr>
        <w:lastRenderedPageBreak/>
        <w:t>Le fonti di finanziamento del Fondo pluriennale vincolato iscritto nel bilancio per l’esercizio 2017 sono le seguenti:</w:t>
      </w:r>
    </w:p>
    <w:p w:rsidR="001811EC" w:rsidRPr="009D4BFF" w:rsidRDefault="001811EC">
      <w:pPr>
        <w:autoSpaceDE w:val="0"/>
        <w:autoSpaceDN w:val="0"/>
        <w:adjustRightInd w:val="0"/>
        <w:jc w:val="both"/>
        <w:rPr>
          <w:rFonts w:ascii="Arial" w:hAnsi="Arial" w:cs="Arial"/>
          <w:color w:val="000000"/>
          <w:sz w:val="22"/>
          <w:szCs w:val="22"/>
          <w:highlight w:val="yellow"/>
        </w:rPr>
      </w:pPr>
    </w:p>
    <w:bookmarkStart w:id="19" w:name="_MON_1542705111"/>
    <w:bookmarkEnd w:id="19"/>
    <w:p w:rsidR="001811EC" w:rsidRDefault="002121F5">
      <w:pPr>
        <w:autoSpaceDE w:val="0"/>
        <w:autoSpaceDN w:val="0"/>
        <w:adjustRightInd w:val="0"/>
        <w:jc w:val="center"/>
        <w:rPr>
          <w:rFonts w:ascii="Arial" w:hAnsi="Arial" w:cs="Arial"/>
          <w:color w:val="000000"/>
          <w:sz w:val="22"/>
          <w:szCs w:val="22"/>
        </w:rPr>
      </w:pPr>
      <w:r w:rsidRPr="009D4BFF">
        <w:rPr>
          <w:rFonts w:ascii="Arial" w:hAnsi="Arial" w:cs="Arial"/>
          <w:color w:val="000000"/>
          <w:sz w:val="22"/>
          <w:szCs w:val="22"/>
          <w:highlight w:val="yellow"/>
        </w:rPr>
        <w:object w:dxaOrig="5809" w:dyaOrig="2036">
          <v:shape id="_x0000_i1028" type="#_x0000_t75" style="width:289.85pt;height:101.9pt" o:ole="">
            <v:imagedata r:id="rId75" o:title=""/>
          </v:shape>
          <o:OLEObject Type="Embed" ProgID="Excel.Sheet.12" ShapeID="_x0000_i1028" DrawAspect="Content" ObjectID="_1547620556" r:id="rId76"/>
        </w:object>
      </w:r>
    </w:p>
    <w:p w:rsidR="001811EC" w:rsidRDefault="001811EC">
      <w:pPr>
        <w:autoSpaceDE w:val="0"/>
        <w:autoSpaceDN w:val="0"/>
        <w:adjustRightInd w:val="0"/>
        <w:jc w:val="both"/>
        <w:rPr>
          <w:rFonts w:ascii="Arial" w:hAnsi="Arial" w:cs="Arial"/>
          <w:color w:val="000000"/>
          <w:sz w:val="22"/>
          <w:szCs w:val="22"/>
        </w:rPr>
      </w:pPr>
    </w:p>
    <w:p w:rsidR="001811EC" w:rsidRDefault="001811EC">
      <w:pPr>
        <w:rPr>
          <w:rFonts w:ascii="Arial" w:hAnsi="Arial" w:cs="Arial"/>
          <w:b/>
        </w:rPr>
      </w:pPr>
    </w:p>
    <w:p w:rsidR="001811EC" w:rsidRDefault="002121F5">
      <w:pPr>
        <w:pStyle w:val="Titolo2"/>
      </w:pPr>
      <w:bookmarkStart w:id="20" w:name="_Toc469216199"/>
      <w:r>
        <w:t>2. Previsioni di cassa</w:t>
      </w:r>
      <w:bookmarkEnd w:id="20"/>
      <w:r>
        <w:t xml:space="preserve"> </w:t>
      </w:r>
    </w:p>
    <w:p w:rsidR="001811EC" w:rsidRDefault="001811EC">
      <w:pPr>
        <w:rPr>
          <w:rFonts w:ascii="Arial" w:hAnsi="Arial" w:cs="Arial"/>
        </w:rPr>
      </w:pPr>
    </w:p>
    <w:p w:rsidR="001811EC" w:rsidRDefault="001811EC">
      <w:pPr>
        <w:rPr>
          <w:rFonts w:ascii="Arial" w:hAnsi="Arial" w:cs="Arial"/>
          <w:b/>
        </w:rPr>
      </w:pPr>
    </w:p>
    <w:p w:rsidR="001811EC" w:rsidRDefault="009716D1">
      <w:pPr>
        <w:rPr>
          <w:rFonts w:ascii="Arial" w:hAnsi="Arial" w:cs="Arial"/>
        </w:rPr>
      </w:pPr>
      <w:r>
        <w:rPr>
          <w:rFonts w:ascii="Arial" w:hAnsi="Arial" w:cs="Arial"/>
          <w:b/>
          <w:noProof/>
        </w:rPr>
        <w:pict>
          <v:shape id="_x0000_s1061" type="#_x0000_t75" style="position:absolute;margin-left:65.1pt;margin-top:-.05pt;width:351.7pt;height:394.35pt;z-index:251662336">
            <v:imagedata r:id="rId77" o:title=""/>
            <w10:wrap type="square" side="right"/>
          </v:shape>
          <o:OLEObject Type="Embed" ProgID="Excel.Sheet.8" ShapeID="_x0000_s1061" DrawAspect="Content" ObjectID="_1547620587" r:id="rId78"/>
        </w:pict>
      </w:r>
      <w:r w:rsidR="002121F5">
        <w:rPr>
          <w:rFonts w:ascii="Arial" w:hAnsi="Arial" w:cs="Arial"/>
        </w:rPr>
        <w:br w:type="textWrapping" w:clear="all"/>
      </w:r>
    </w:p>
    <w:p w:rsidR="001811EC" w:rsidRDefault="002121F5">
      <w:pPr>
        <w:jc w:val="both"/>
        <w:rPr>
          <w:rFonts w:ascii="Arial" w:hAnsi="Arial" w:cs="Arial"/>
          <w:color w:val="000000"/>
          <w:sz w:val="22"/>
          <w:szCs w:val="22"/>
        </w:rPr>
      </w:pPr>
      <w:bookmarkStart w:id="21" w:name="_MON_1512111425"/>
      <w:bookmarkStart w:id="22" w:name="_2._Verifica_equilibrio"/>
      <w:bookmarkStart w:id="23" w:name="_Toc346838820"/>
      <w:bookmarkEnd w:id="21"/>
      <w:bookmarkEnd w:id="22"/>
      <w:r>
        <w:rPr>
          <w:rFonts w:ascii="Arial" w:hAnsi="Arial" w:cs="Arial"/>
          <w:color w:val="000000"/>
          <w:sz w:val="22"/>
          <w:szCs w:val="22"/>
        </w:rPr>
        <w:t>Gli stanziamenti di cassa comprendono le previsioni di riscossioni e pagamenti in conto competenza e in conto residui e sono elaborate in considerazione dei presumibili ritardi nella riscossione e nei pagamenti delle obbligazioni già esigibili nonché delle minori riscossioni per effetto delle riduzioni/esenzioni derivanti dal baratto amministrativo.</w:t>
      </w:r>
    </w:p>
    <w:p w:rsidR="001811EC" w:rsidRDefault="002121F5">
      <w:pPr>
        <w:rPr>
          <w:rFonts w:ascii="Arial" w:hAnsi="Arial" w:cs="Arial"/>
          <w:color w:val="000000"/>
          <w:sz w:val="22"/>
          <w:szCs w:val="22"/>
        </w:rPr>
      </w:pPr>
      <w:r>
        <w:rPr>
          <w:rFonts w:ascii="Arial" w:hAnsi="Arial" w:cs="Arial"/>
          <w:color w:val="000000"/>
          <w:sz w:val="22"/>
          <w:szCs w:val="22"/>
        </w:rPr>
        <w:t>Il saldo di cassa non negativo assicura il rispetto del comma dell’</w:t>
      </w:r>
      <w:hyperlink r:id="rId79" w:history="1">
        <w:r>
          <w:rPr>
            <w:rStyle w:val="Collegamentoipertestuale"/>
            <w:rFonts w:ascii="Arial" w:hAnsi="Arial" w:cs="Arial"/>
            <w:sz w:val="22"/>
            <w:szCs w:val="22"/>
          </w:rPr>
          <w:t>art.162 del TUEL</w:t>
        </w:r>
      </w:hyperlink>
      <w:r>
        <w:rPr>
          <w:rFonts w:ascii="Arial" w:hAnsi="Arial" w:cs="Arial"/>
          <w:color w:val="000000"/>
          <w:sz w:val="22"/>
          <w:szCs w:val="22"/>
        </w:rPr>
        <w:t>;</w:t>
      </w:r>
    </w:p>
    <w:p w:rsidR="001811EC" w:rsidRPr="009D4BFF" w:rsidRDefault="002121F5" w:rsidP="000D02A5">
      <w:pPr>
        <w:jc w:val="both"/>
        <w:rPr>
          <w:rFonts w:ascii="Arial" w:hAnsi="Arial" w:cs="Arial"/>
          <w:sz w:val="22"/>
          <w:szCs w:val="22"/>
          <w:highlight w:val="yellow"/>
        </w:rPr>
      </w:pPr>
      <w:r w:rsidRPr="009D4BFF">
        <w:rPr>
          <w:rFonts w:ascii="Arial" w:hAnsi="Arial" w:cs="Arial"/>
          <w:sz w:val="22"/>
          <w:szCs w:val="22"/>
          <w:highlight w:val="yellow"/>
        </w:rPr>
        <w:lastRenderedPageBreak/>
        <w:t xml:space="preserve">L’organo di revisione ha verificato che la previsione di cassa è stata calcolata tenendo conto di quanto mediamente è stato riscosso negli ultimi esercizi. </w:t>
      </w:r>
    </w:p>
    <w:p w:rsidR="001811EC" w:rsidRDefault="002121F5" w:rsidP="000D02A5">
      <w:pPr>
        <w:jc w:val="both"/>
        <w:rPr>
          <w:rFonts w:ascii="Arial" w:hAnsi="Arial" w:cs="Arial"/>
          <w:sz w:val="22"/>
          <w:szCs w:val="22"/>
        </w:rPr>
      </w:pPr>
      <w:r w:rsidRPr="009D4BFF">
        <w:rPr>
          <w:rFonts w:ascii="Arial" w:hAnsi="Arial" w:cs="Arial"/>
          <w:sz w:val="22"/>
          <w:szCs w:val="22"/>
          <w:highlight w:val="yellow"/>
        </w:rPr>
        <w:t xml:space="preserve">L’organo di revisione rammenta che i singoli dirigenti o responsabili di servizi devono partecipare alle proposte di previsione </w:t>
      </w:r>
      <w:proofErr w:type="spellStart"/>
      <w:r w:rsidRPr="009D4BFF">
        <w:rPr>
          <w:rFonts w:ascii="Arial" w:hAnsi="Arial" w:cs="Arial"/>
          <w:sz w:val="22"/>
          <w:szCs w:val="22"/>
          <w:highlight w:val="yellow"/>
        </w:rPr>
        <w:t>autorizzatorie</w:t>
      </w:r>
      <w:proofErr w:type="spellEnd"/>
      <w:r w:rsidRPr="009D4BFF">
        <w:rPr>
          <w:rFonts w:ascii="Arial" w:hAnsi="Arial" w:cs="Arial"/>
          <w:sz w:val="22"/>
          <w:szCs w:val="22"/>
          <w:highlight w:val="yellow"/>
        </w:rPr>
        <w:t xml:space="preserve"> di cassa anche ai fini dell’accertamento preventivo di compatibilità di cui all’</w:t>
      </w:r>
      <w:hyperlink r:id="rId80" w:history="1">
        <w:r w:rsidRPr="009D4BFF">
          <w:rPr>
            <w:rStyle w:val="Collegamentoipertestuale"/>
            <w:rFonts w:ascii="Arial" w:hAnsi="Arial" w:cs="Arial"/>
            <w:sz w:val="22"/>
            <w:szCs w:val="22"/>
            <w:highlight w:val="yellow"/>
          </w:rPr>
          <w:t>art. 183, comma 8, del TUEL</w:t>
        </w:r>
      </w:hyperlink>
      <w:r w:rsidRPr="009D4BFF">
        <w:rPr>
          <w:rFonts w:ascii="Arial" w:hAnsi="Arial" w:cs="Arial"/>
          <w:sz w:val="22"/>
          <w:szCs w:val="22"/>
          <w:highlight w:val="yellow"/>
        </w:rPr>
        <w:t>.</w:t>
      </w:r>
    </w:p>
    <w:p w:rsidR="001811EC" w:rsidRDefault="001811EC">
      <w:pPr>
        <w:jc w:val="both"/>
        <w:rPr>
          <w:rFonts w:ascii="Arial" w:hAnsi="Arial" w:cs="Arial"/>
          <w:color w:val="000000"/>
          <w:sz w:val="22"/>
          <w:szCs w:val="22"/>
        </w:rPr>
      </w:pPr>
    </w:p>
    <w:p w:rsidR="001811EC" w:rsidRDefault="002121F5">
      <w:pPr>
        <w:jc w:val="both"/>
        <w:rPr>
          <w:rFonts w:ascii="Arial" w:hAnsi="Arial" w:cs="Arial"/>
          <w:color w:val="000000"/>
          <w:sz w:val="22"/>
          <w:szCs w:val="22"/>
        </w:rPr>
      </w:pPr>
      <w:r>
        <w:rPr>
          <w:rFonts w:ascii="Arial" w:hAnsi="Arial" w:cs="Arial"/>
          <w:color w:val="000000"/>
          <w:sz w:val="22"/>
          <w:szCs w:val="22"/>
        </w:rPr>
        <w:t xml:space="preserve">Il fondo iniziale di cassa comprende la cassa vincolata per euro……….. </w:t>
      </w:r>
    </w:p>
    <w:p w:rsidR="001811EC" w:rsidRDefault="001811EC">
      <w:pPr>
        <w:jc w:val="both"/>
        <w:rPr>
          <w:rFonts w:ascii="Arial" w:hAnsi="Arial" w:cs="Arial"/>
          <w:color w:val="000000"/>
          <w:sz w:val="22"/>
          <w:szCs w:val="22"/>
        </w:rPr>
      </w:pPr>
    </w:p>
    <w:p w:rsidR="001811EC" w:rsidRDefault="002121F5">
      <w:pPr>
        <w:jc w:val="both"/>
        <w:rPr>
          <w:rFonts w:ascii="Arial" w:hAnsi="Arial" w:cs="Arial"/>
        </w:rPr>
      </w:pPr>
      <w:r>
        <w:rPr>
          <w:rFonts w:ascii="Arial" w:hAnsi="Arial" w:cs="Arial"/>
          <w:sz w:val="22"/>
          <w:szCs w:val="22"/>
        </w:rPr>
        <w:t>La differenza fra residui + previsione di competenza e previsione di cassa è dimostrata nel seguente prospetto:</w:t>
      </w:r>
    </w:p>
    <w:p w:rsidR="001811EC" w:rsidRDefault="001811EC">
      <w:pPr>
        <w:jc w:val="both"/>
        <w:rPr>
          <w:rFonts w:ascii="Arial" w:hAnsi="Arial" w:cs="Arial"/>
        </w:rPr>
      </w:pPr>
    </w:p>
    <w:bookmarkStart w:id="24" w:name="_MON_1513432777"/>
    <w:bookmarkEnd w:id="24"/>
    <w:p w:rsidR="001811EC" w:rsidRDefault="002121F5">
      <w:pPr>
        <w:rPr>
          <w:rFonts w:ascii="Arial" w:hAnsi="Arial" w:cs="Arial"/>
          <w:sz w:val="22"/>
          <w:szCs w:val="22"/>
        </w:rPr>
      </w:pPr>
      <w:r w:rsidRPr="00FF759A">
        <w:rPr>
          <w:rFonts w:ascii="Arial" w:hAnsi="Arial" w:cs="Arial"/>
          <w:sz w:val="22"/>
          <w:szCs w:val="22"/>
        </w:rPr>
        <w:object w:dxaOrig="10282" w:dyaOrig="5979">
          <v:shape id="_x0000_i1029" type="#_x0000_t75" style="width:516.15pt;height:298.3pt" o:ole="">
            <v:imagedata r:id="rId81" o:title=""/>
          </v:shape>
          <o:OLEObject Type="Embed" ProgID="Excel.Sheet.8" ShapeID="_x0000_i1029" DrawAspect="Content" ObjectID="_1547620557" r:id="rId82"/>
        </w:object>
      </w:r>
    </w:p>
    <w:p w:rsidR="001811EC" w:rsidRDefault="001811EC">
      <w:pPr>
        <w:jc w:val="both"/>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bookmarkStart w:id="25" w:name="_MON_1513432777"/>
      <w:bookmarkEnd w:id="25"/>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2121F5">
      <w:pPr>
        <w:rPr>
          <w:rFonts w:ascii="Arial" w:hAnsi="Arial" w:cs="Arial"/>
          <w:b/>
          <w:u w:val="single"/>
        </w:rPr>
      </w:pPr>
      <w:r>
        <w:rPr>
          <w:rFonts w:ascii="Arial" w:hAnsi="Arial" w:cs="Arial"/>
        </w:rPr>
        <w:br w:type="page"/>
      </w:r>
    </w:p>
    <w:p w:rsidR="001811EC" w:rsidRDefault="002121F5">
      <w:pPr>
        <w:pStyle w:val="Titolo2"/>
      </w:pPr>
      <w:bookmarkStart w:id="26" w:name="_Toc469216200"/>
      <w:r>
        <w:lastRenderedPageBreak/>
        <w:t>3. Verifica equilibrio corrente anni 2017</w:t>
      </w:r>
      <w:bookmarkEnd w:id="23"/>
      <w:r>
        <w:t>-2019</w:t>
      </w:r>
      <w:bookmarkEnd w:id="26"/>
    </w:p>
    <w:p w:rsidR="001811EC" w:rsidRDefault="001811EC">
      <w:pPr>
        <w:rPr>
          <w:rFonts w:ascii="Arial" w:hAnsi="Arial" w:cs="Arial"/>
        </w:rPr>
      </w:pPr>
    </w:p>
    <w:p w:rsidR="001811EC" w:rsidRDefault="002121F5">
      <w:pPr>
        <w:rPr>
          <w:rFonts w:ascii="Arial" w:hAnsi="Arial" w:cs="Arial"/>
          <w:sz w:val="22"/>
          <w:szCs w:val="22"/>
        </w:rPr>
      </w:pPr>
      <w:r>
        <w:rPr>
          <w:rFonts w:ascii="Arial" w:hAnsi="Arial" w:cs="Arial"/>
          <w:sz w:val="22"/>
          <w:szCs w:val="22"/>
        </w:rPr>
        <w:t>Gli equilibri richiesti dal comma 6 dell’</w:t>
      </w:r>
      <w:hyperlink r:id="rId83" w:history="1">
        <w:r>
          <w:rPr>
            <w:rStyle w:val="Collegamentoipertestuale"/>
            <w:rFonts w:ascii="Arial" w:hAnsi="Arial" w:cs="Arial"/>
            <w:sz w:val="22"/>
            <w:szCs w:val="22"/>
          </w:rPr>
          <w:t>art.162 del TUEL</w:t>
        </w:r>
      </w:hyperlink>
      <w:r>
        <w:rPr>
          <w:rFonts w:ascii="Arial" w:hAnsi="Arial" w:cs="Arial"/>
          <w:sz w:val="22"/>
          <w:szCs w:val="22"/>
        </w:rPr>
        <w:t xml:space="preserve"> sono così assicurati: </w:t>
      </w:r>
    </w:p>
    <w:p w:rsidR="001811EC" w:rsidRDefault="001811EC">
      <w:pPr>
        <w:rPr>
          <w:rFonts w:ascii="Arial" w:hAnsi="Arial" w:cs="Arial"/>
        </w:rPr>
      </w:pPr>
    </w:p>
    <w:p w:rsidR="001811EC" w:rsidRDefault="009716D1" w:rsidP="000D02A5">
      <w:pPr>
        <w:rPr>
          <w:rFonts w:ascii="Arial" w:hAnsi="Arial" w:cs="Arial"/>
          <w:sz w:val="22"/>
          <w:szCs w:val="22"/>
        </w:rPr>
      </w:pPr>
      <w:r>
        <w:rPr>
          <w:rFonts w:ascii="Arial" w:hAnsi="Arial" w:cs="Arial"/>
          <w:noProof/>
        </w:rPr>
        <w:pict>
          <v:shape id="_x0000_s1062" type="#_x0000_t75" style="position:absolute;margin-left:0;margin-top:-.2pt;width:495.4pt;height:541.35pt;z-index:251664384;mso-position-horizontal:left">
            <v:imagedata r:id="rId84" o:title=""/>
            <w10:wrap type="square" side="right"/>
          </v:shape>
          <o:OLEObject Type="Embed" ProgID="Excel.Sheet.8" ShapeID="_x0000_s1062" DrawAspect="Content" ObjectID="_1547620588" r:id="rId85"/>
        </w:pict>
      </w:r>
      <w:bookmarkStart w:id="27" w:name="_MON_1497441630"/>
      <w:bookmarkEnd w:id="27"/>
    </w:p>
    <w:p w:rsidR="001811EC" w:rsidRDefault="002121F5">
      <w:pPr>
        <w:jc w:val="both"/>
        <w:rPr>
          <w:rFonts w:ascii="Arial" w:hAnsi="Arial" w:cs="Arial"/>
          <w:color w:val="365F91" w:themeColor="accent1" w:themeShade="BF"/>
          <w:sz w:val="22"/>
          <w:szCs w:val="22"/>
        </w:rPr>
      </w:pPr>
      <w:r>
        <w:rPr>
          <w:rFonts w:ascii="Arial" w:hAnsi="Arial" w:cs="Arial"/>
          <w:sz w:val="22"/>
          <w:szCs w:val="22"/>
        </w:rPr>
        <w:t>L’importo di euro…….. di entrate in conto capitale destinate al ripiano del bilancio corrente sono costituite da…………………..(</w:t>
      </w:r>
      <w:r>
        <w:rPr>
          <w:rFonts w:ascii="Arial" w:hAnsi="Arial" w:cs="Arial"/>
          <w:color w:val="365F91" w:themeColor="accent1" w:themeShade="BF"/>
          <w:sz w:val="22"/>
          <w:szCs w:val="22"/>
        </w:rPr>
        <w:t xml:space="preserve">esempio: per il  2017 contributo per permesso di costruire e relative sanzioni, IVA su alienazioni). </w:t>
      </w:r>
    </w:p>
    <w:p w:rsidR="001811EC" w:rsidRDefault="001811EC">
      <w:pPr>
        <w:jc w:val="both"/>
        <w:rPr>
          <w:rFonts w:ascii="Arial" w:hAnsi="Arial" w:cs="Arial"/>
          <w:color w:val="548DD4" w:themeColor="text2" w:themeTint="99"/>
          <w:sz w:val="22"/>
          <w:szCs w:val="22"/>
        </w:rPr>
      </w:pPr>
    </w:p>
    <w:p w:rsidR="001811EC" w:rsidRDefault="002121F5">
      <w:pPr>
        <w:jc w:val="both"/>
        <w:rPr>
          <w:rFonts w:ascii="Arial" w:hAnsi="Arial" w:cs="Arial"/>
          <w:sz w:val="22"/>
          <w:szCs w:val="22"/>
        </w:rPr>
      </w:pPr>
      <w:r>
        <w:rPr>
          <w:rFonts w:ascii="Arial" w:hAnsi="Arial" w:cs="Arial"/>
          <w:sz w:val="22"/>
          <w:szCs w:val="22"/>
        </w:rPr>
        <w:lastRenderedPageBreak/>
        <w:t xml:space="preserve">L’importo di euro ………………. di entrate di parte corrente destinate a spese di investimento sono costituite da…………………….. </w:t>
      </w:r>
    </w:p>
    <w:p w:rsidR="001811EC" w:rsidRDefault="001811EC">
      <w:pPr>
        <w:jc w:val="both"/>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L’avanzo di parte corrente è destinato a:</w:t>
      </w:r>
    </w:p>
    <w:p w:rsidR="001811EC" w:rsidRDefault="002121F5">
      <w:pPr>
        <w:pStyle w:val="Paragrafoelenco"/>
        <w:numPr>
          <w:ilvl w:val="0"/>
          <w:numId w:val="8"/>
        </w:numPr>
        <w:jc w:val="both"/>
        <w:rPr>
          <w:rFonts w:ascii="Arial" w:hAnsi="Arial" w:cs="Arial"/>
          <w:sz w:val="22"/>
          <w:szCs w:val="22"/>
        </w:rPr>
      </w:pPr>
      <w:r>
        <w:rPr>
          <w:rFonts w:ascii="Arial" w:hAnsi="Arial" w:cs="Arial"/>
          <w:sz w:val="22"/>
          <w:szCs w:val="22"/>
        </w:rPr>
        <w:t>al finanziamento del saldo negativo delle partite finanziarie;</w:t>
      </w:r>
    </w:p>
    <w:p w:rsidR="001811EC" w:rsidRDefault="002121F5">
      <w:pPr>
        <w:pStyle w:val="Paragrafoelenco"/>
        <w:numPr>
          <w:ilvl w:val="0"/>
          <w:numId w:val="8"/>
        </w:numPr>
        <w:jc w:val="both"/>
        <w:rPr>
          <w:rFonts w:ascii="Arial" w:hAnsi="Arial" w:cs="Arial"/>
          <w:sz w:val="22"/>
          <w:szCs w:val="22"/>
        </w:rPr>
      </w:pPr>
      <w:r>
        <w:rPr>
          <w:rFonts w:ascii="Arial" w:hAnsi="Arial" w:cs="Arial"/>
          <w:sz w:val="22"/>
          <w:szCs w:val="22"/>
        </w:rPr>
        <w:t>................................................</w:t>
      </w:r>
    </w:p>
    <w:p w:rsidR="001811EC" w:rsidRDefault="001811EC">
      <w:pPr>
        <w:ind w:left="360"/>
        <w:jc w:val="both"/>
        <w:rPr>
          <w:rFonts w:ascii="Arial" w:hAnsi="Arial" w:cs="Arial"/>
          <w:sz w:val="22"/>
          <w:szCs w:val="22"/>
        </w:rPr>
      </w:pPr>
    </w:p>
    <w:p w:rsidR="001811EC" w:rsidRDefault="001811EC">
      <w:pPr>
        <w:spacing w:before="120"/>
        <w:rPr>
          <w:rFonts w:ascii="Arial" w:hAnsi="Arial" w:cs="Arial"/>
          <w:b/>
          <w:i/>
          <w:color w:val="365F91"/>
          <w:sz w:val="18"/>
        </w:rPr>
      </w:pPr>
      <w:bookmarkStart w:id="28" w:name="_MON_1497441881"/>
      <w:bookmarkEnd w:id="28"/>
    </w:p>
    <w:p w:rsidR="001811EC" w:rsidRDefault="002121F5">
      <w:pPr>
        <w:pStyle w:val="Titolo2"/>
      </w:pPr>
      <w:bookmarkStart w:id="29" w:name="_Toc469216201"/>
      <w:r>
        <w:t>4. Entrate e spese di carattere non ripetitivo</w:t>
      </w:r>
      <w:bookmarkEnd w:id="29"/>
    </w:p>
    <w:p w:rsidR="001811EC" w:rsidRDefault="009716D1">
      <w:pPr>
        <w:spacing w:before="120"/>
        <w:jc w:val="both"/>
        <w:rPr>
          <w:rFonts w:ascii="Arial" w:hAnsi="Arial" w:cs="Arial"/>
          <w:sz w:val="22"/>
          <w:szCs w:val="22"/>
        </w:rPr>
      </w:pPr>
      <w:hyperlink r:id="rId86" w:history="1">
        <w:r w:rsidR="002121F5">
          <w:rPr>
            <w:rStyle w:val="Collegamentoipertestuale"/>
            <w:rFonts w:ascii="Arial" w:hAnsi="Arial" w:cs="Arial"/>
            <w:sz w:val="22"/>
            <w:szCs w:val="22"/>
          </w:rPr>
          <w:t>L’articolo 25, comma 1, lettera b) della legge 31/12/2009, n.196</w:t>
        </w:r>
      </w:hyperlink>
      <w:r w:rsidR="002121F5">
        <w:rPr>
          <w:rFonts w:ascii="Arial" w:hAnsi="Arial" w:cs="Arial"/>
          <w:sz w:val="22"/>
          <w:szCs w:val="22"/>
        </w:rPr>
        <w:t xml:space="preserve"> </w:t>
      </w:r>
      <w:r w:rsidR="00077256">
        <w:rPr>
          <w:rFonts w:ascii="Arial" w:hAnsi="Arial" w:cs="Arial"/>
          <w:sz w:val="22"/>
          <w:szCs w:val="22"/>
        </w:rPr>
        <w:t xml:space="preserve">e il punto 9.11.3 del principio contabile applicato 4/2 </w:t>
      </w:r>
      <w:r w:rsidR="002121F5">
        <w:rPr>
          <w:rFonts w:ascii="Arial" w:hAnsi="Arial" w:cs="Arial"/>
          <w:sz w:val="22"/>
          <w:szCs w:val="22"/>
        </w:rPr>
        <w:t>distingu</w:t>
      </w:r>
      <w:r w:rsidR="00077256">
        <w:rPr>
          <w:rFonts w:ascii="Arial" w:hAnsi="Arial" w:cs="Arial"/>
          <w:sz w:val="22"/>
          <w:szCs w:val="22"/>
        </w:rPr>
        <w:t xml:space="preserve">ono </w:t>
      </w:r>
      <w:r w:rsidR="002121F5">
        <w:rPr>
          <w:rFonts w:ascii="Arial" w:hAnsi="Arial" w:cs="Arial"/>
          <w:sz w:val="22"/>
          <w:szCs w:val="22"/>
        </w:rPr>
        <w:t>le entrate ricorrenti da quelle non ricorrenti, a seconda che si riferiscano a proventi la cui acquisizione sia prevista a regime ovvero limitata a uno o più esercizi.</w:t>
      </w:r>
    </w:p>
    <w:p w:rsidR="001811EC" w:rsidRDefault="002121F5">
      <w:pPr>
        <w:spacing w:before="120"/>
        <w:jc w:val="both"/>
        <w:rPr>
          <w:rFonts w:ascii="Arial" w:hAnsi="Arial" w:cs="Arial"/>
          <w:i/>
          <w:sz w:val="22"/>
          <w:szCs w:val="22"/>
        </w:rPr>
      </w:pPr>
      <w:r>
        <w:rPr>
          <w:rFonts w:ascii="Arial" w:hAnsi="Arial" w:cs="Arial"/>
          <w:i/>
          <w:sz w:val="22"/>
          <w:szCs w:val="22"/>
        </w:rPr>
        <w:t>E’ definita “a regime” un’entrata che si presenta con continuità in almeno 5 esercizi, per importi costanti nel tempo.</w:t>
      </w:r>
    </w:p>
    <w:p w:rsidR="001811EC" w:rsidRDefault="002121F5">
      <w:pPr>
        <w:spacing w:before="120"/>
        <w:jc w:val="both"/>
        <w:rPr>
          <w:rFonts w:ascii="Arial" w:hAnsi="Arial" w:cs="Arial"/>
          <w:i/>
          <w:sz w:val="22"/>
          <w:szCs w:val="22"/>
        </w:rPr>
      </w:pPr>
      <w:r>
        <w:rPr>
          <w:rFonts w:ascii="Arial" w:hAnsi="Arial" w:cs="Arial"/>
          <w:i/>
          <w:sz w:val="22"/>
          <w:szCs w:val="22"/>
        </w:rPr>
        <w:t>Tutti i trasferimenti in conto capitale sono non ricorrenti a meno che non siano espressamente definiti “continuativi” dal provvedimento o dalla norma che ne autorizza l’erogazione.</w:t>
      </w:r>
    </w:p>
    <w:p w:rsidR="001811EC" w:rsidRDefault="002121F5">
      <w:pPr>
        <w:spacing w:before="120"/>
        <w:jc w:val="both"/>
        <w:rPr>
          <w:rFonts w:ascii="Arial" w:hAnsi="Arial" w:cs="Arial"/>
          <w:i/>
          <w:sz w:val="22"/>
          <w:szCs w:val="22"/>
        </w:rPr>
      </w:pPr>
      <w:r>
        <w:rPr>
          <w:rFonts w:ascii="Arial" w:hAnsi="Arial" w:cs="Arial"/>
          <w:i/>
          <w:sz w:val="22"/>
          <w:szCs w:val="22"/>
        </w:rPr>
        <w:t xml:space="preserve">E' opportuno includere tra le entrate “non ricorrenti” anche le entrate presenti “a regime” nei bilanci dell’ente, quando presentano importi superiori alla media riscontrata nei cinque esercizi precedenti. </w:t>
      </w:r>
    </w:p>
    <w:p w:rsidR="001811EC" w:rsidRDefault="002121F5">
      <w:pPr>
        <w:spacing w:before="120"/>
        <w:jc w:val="both"/>
        <w:rPr>
          <w:rFonts w:ascii="Arial" w:hAnsi="Arial" w:cs="Arial"/>
          <w:i/>
          <w:sz w:val="22"/>
          <w:szCs w:val="22"/>
        </w:rPr>
      </w:pPr>
      <w:r>
        <w:rPr>
          <w:rFonts w:ascii="Arial" w:hAnsi="Arial" w:cs="Arial"/>
          <w:i/>
          <w:sz w:val="22"/>
          <w:szCs w:val="22"/>
        </w:rPr>
        <w:t>In questo caso le entrate devono essere considerate ricorrenti fino a quando superano tale importo e devono essere invece considerate non ricorrenti quando tale importo viene superato.</w:t>
      </w:r>
    </w:p>
    <w:p w:rsidR="001811EC" w:rsidRDefault="002121F5">
      <w:pPr>
        <w:spacing w:before="120"/>
        <w:jc w:val="both"/>
        <w:rPr>
          <w:rFonts w:ascii="Arial" w:hAnsi="Arial" w:cs="Arial"/>
          <w:i/>
          <w:sz w:val="22"/>
          <w:szCs w:val="22"/>
        </w:rPr>
      </w:pPr>
      <w:r>
        <w:rPr>
          <w:rFonts w:ascii="Arial" w:hAnsi="Arial" w:cs="Arial"/>
          <w:i/>
          <w:sz w:val="22"/>
          <w:szCs w:val="22"/>
        </w:rPr>
        <w:t xml:space="preserve">Le entrate da concessioni pluriennali che non garantiscono accertamenti costanti negli esercizi e costituiscono entrate straordinarie non ricorrenti sono destinate al finanziamento di interventi di investimento. (vedi punto 3.10 del </w:t>
      </w:r>
      <w:hyperlink r:id="rId87" w:history="1">
        <w:r>
          <w:rPr>
            <w:rStyle w:val="Collegamentoipertestuale"/>
            <w:rFonts w:ascii="Arial" w:hAnsi="Arial" w:cs="Arial"/>
            <w:i/>
            <w:sz w:val="22"/>
            <w:szCs w:val="22"/>
          </w:rPr>
          <w:t>principio contabile applicato 4/2</w:t>
        </w:r>
      </w:hyperlink>
      <w:r>
        <w:rPr>
          <w:rFonts w:ascii="Arial" w:hAnsi="Arial" w:cs="Arial"/>
          <w:i/>
          <w:sz w:val="22"/>
          <w:szCs w:val="22"/>
        </w:rPr>
        <w:t>)</w:t>
      </w:r>
    </w:p>
    <w:p w:rsidR="001811EC" w:rsidRDefault="002121F5">
      <w:pPr>
        <w:spacing w:before="120"/>
        <w:jc w:val="both"/>
        <w:rPr>
          <w:rFonts w:ascii="Arial" w:hAnsi="Arial" w:cs="Arial"/>
          <w:sz w:val="22"/>
          <w:szCs w:val="22"/>
        </w:rPr>
      </w:pPr>
      <w:r>
        <w:rPr>
          <w:rFonts w:ascii="Arial" w:hAnsi="Arial" w:cs="Arial"/>
          <w:sz w:val="22"/>
          <w:szCs w:val="22"/>
        </w:rPr>
        <w:t>Nel bilancio sono previste nei primi tre titoli le seguenti entrate e nel titolo I le seguenti spese non ricorrenti (indicare solo l’importo che, come riportato nel commento, supera la media dei cinque anni precedenti).</w:t>
      </w:r>
    </w:p>
    <w:bookmarkStart w:id="30" w:name="_MON_1513856869"/>
    <w:bookmarkEnd w:id="30"/>
    <w:p w:rsidR="001811EC" w:rsidRDefault="002121F5">
      <w:pPr>
        <w:spacing w:before="120"/>
        <w:jc w:val="center"/>
        <w:rPr>
          <w:rFonts w:ascii="Arial" w:hAnsi="Arial" w:cs="Arial"/>
          <w:sz w:val="22"/>
          <w:szCs w:val="22"/>
        </w:rPr>
      </w:pPr>
      <w:r w:rsidRPr="00FF759A">
        <w:rPr>
          <w:rFonts w:ascii="Arial" w:hAnsi="Arial" w:cs="Arial"/>
          <w:sz w:val="22"/>
          <w:szCs w:val="22"/>
        </w:rPr>
        <w:object w:dxaOrig="8862" w:dyaOrig="5780">
          <v:shape id="_x0000_i1030" type="#_x0000_t75" style="width:443.7pt;height:288.95pt" o:ole="">
            <v:imagedata r:id="rId88" o:title=""/>
          </v:shape>
          <o:OLEObject Type="Embed" ProgID="Excel.Sheet.12" ShapeID="_x0000_i1030" DrawAspect="Content" ObjectID="_1547620558" r:id="rId89"/>
        </w:object>
      </w:r>
    </w:p>
    <w:p w:rsidR="001811EC" w:rsidRDefault="001811EC">
      <w:pPr>
        <w:spacing w:before="120"/>
        <w:rPr>
          <w:rFonts w:ascii="Arial" w:hAnsi="Arial" w:cs="Arial"/>
          <w:b/>
          <w:color w:val="365F91"/>
          <w:sz w:val="18"/>
        </w:rPr>
      </w:pPr>
      <w:bookmarkStart w:id="31" w:name="_MON_1513856869"/>
      <w:bookmarkEnd w:id="31"/>
    </w:p>
    <w:p w:rsidR="001811EC" w:rsidRDefault="001811EC">
      <w:pPr>
        <w:jc w:val="both"/>
        <w:rPr>
          <w:rFonts w:ascii="Arial" w:hAnsi="Arial" w:cs="Arial"/>
          <w:sz w:val="22"/>
          <w:szCs w:val="22"/>
        </w:rPr>
      </w:pPr>
    </w:p>
    <w:p w:rsidR="001811EC" w:rsidRDefault="001811EC">
      <w:pPr>
        <w:jc w:val="both"/>
        <w:rPr>
          <w:rFonts w:ascii="Arial" w:hAnsi="Arial" w:cs="Arial"/>
          <w:sz w:val="22"/>
          <w:szCs w:val="22"/>
        </w:rPr>
      </w:pPr>
    </w:p>
    <w:p w:rsidR="001811EC" w:rsidRPr="009D4BFF" w:rsidRDefault="002121F5">
      <w:pPr>
        <w:pStyle w:val="Titolo2"/>
        <w:rPr>
          <w:highlight w:val="yellow"/>
        </w:rPr>
      </w:pPr>
      <w:bookmarkStart w:id="32" w:name="_Toc469216202"/>
      <w:r w:rsidRPr="009D4BFF">
        <w:rPr>
          <w:highlight w:val="yellow"/>
        </w:rPr>
        <w:t>5. Verifica rispetto pareggio bilancio</w:t>
      </w:r>
      <w:bookmarkEnd w:id="32"/>
    </w:p>
    <w:p w:rsidR="001811EC" w:rsidRPr="009D4BFF" w:rsidRDefault="001811EC">
      <w:pPr>
        <w:jc w:val="both"/>
        <w:rPr>
          <w:rFonts w:ascii="Arial" w:hAnsi="Arial" w:cs="Arial"/>
          <w:b/>
          <w:sz w:val="22"/>
          <w:szCs w:val="22"/>
          <w:highlight w:val="yellow"/>
        </w:rPr>
      </w:pPr>
    </w:p>
    <w:p w:rsidR="001811EC" w:rsidRPr="009D4BFF" w:rsidRDefault="002121F5">
      <w:pPr>
        <w:jc w:val="both"/>
        <w:rPr>
          <w:rFonts w:ascii="Arial" w:hAnsi="Arial" w:cs="Arial"/>
          <w:sz w:val="22"/>
          <w:szCs w:val="22"/>
          <w:highlight w:val="yellow"/>
        </w:rPr>
      </w:pPr>
      <w:r w:rsidRPr="009D4BFF">
        <w:rPr>
          <w:rFonts w:ascii="Arial" w:hAnsi="Arial" w:cs="Arial"/>
          <w:sz w:val="22"/>
          <w:szCs w:val="22"/>
          <w:highlight w:val="yellow"/>
        </w:rPr>
        <w:t>Il pareggio di bilancio richiesto dall’</w:t>
      </w:r>
      <w:hyperlink r:id="rId90" w:history="1">
        <w:r w:rsidRPr="009D4BFF">
          <w:rPr>
            <w:rStyle w:val="Collegamentoipertestuale"/>
            <w:rFonts w:ascii="Arial" w:hAnsi="Arial" w:cs="Arial"/>
            <w:sz w:val="22"/>
            <w:szCs w:val="22"/>
            <w:highlight w:val="yellow"/>
          </w:rPr>
          <w:t>art.9 della legge 243/2012</w:t>
        </w:r>
      </w:hyperlink>
      <w:r w:rsidRPr="009D4BFF">
        <w:rPr>
          <w:rFonts w:ascii="Arial" w:hAnsi="Arial" w:cs="Arial"/>
          <w:sz w:val="22"/>
          <w:szCs w:val="22"/>
          <w:highlight w:val="yellow"/>
        </w:rPr>
        <w:t xml:space="preserve"> è così assicurato:</w:t>
      </w:r>
    </w:p>
    <w:bookmarkStart w:id="33" w:name="_MON_1542706022"/>
    <w:bookmarkEnd w:id="33"/>
    <w:p w:rsidR="001811EC" w:rsidRDefault="002121F5">
      <w:pPr>
        <w:spacing w:before="120"/>
        <w:jc w:val="both"/>
        <w:rPr>
          <w:rFonts w:ascii="Arial" w:hAnsi="Arial" w:cs="Arial"/>
          <w:sz w:val="22"/>
          <w:szCs w:val="22"/>
        </w:rPr>
      </w:pPr>
      <w:r w:rsidRPr="009D4BFF">
        <w:rPr>
          <w:rFonts w:ascii="Arial" w:hAnsi="Arial" w:cs="Arial"/>
          <w:sz w:val="22"/>
          <w:szCs w:val="22"/>
          <w:highlight w:val="yellow"/>
        </w:rPr>
        <w:object w:dxaOrig="8862" w:dyaOrig="5204">
          <v:shape id="_x0000_i1031" type="#_x0000_t75" style="width:443.7pt;height:260.9pt" o:ole="">
            <v:imagedata r:id="rId91" o:title=""/>
          </v:shape>
          <o:OLEObject Type="Embed" ProgID="Excel.Sheet.12" ShapeID="_x0000_i1031" DrawAspect="Content" ObjectID="_1547620559" r:id="rId92"/>
        </w:object>
      </w:r>
    </w:p>
    <w:p w:rsidR="001811EC" w:rsidRDefault="001811EC">
      <w:pPr>
        <w:jc w:val="both"/>
        <w:rPr>
          <w:rFonts w:ascii="Arial" w:hAnsi="Arial" w:cs="Arial"/>
          <w:sz w:val="22"/>
          <w:szCs w:val="22"/>
        </w:rPr>
      </w:pPr>
    </w:p>
    <w:p w:rsidR="001811EC" w:rsidRDefault="001811EC">
      <w:pPr>
        <w:pStyle w:val="Titolo2"/>
      </w:pPr>
    </w:p>
    <w:p w:rsidR="009D4BFF" w:rsidRPr="009D4BFF" w:rsidRDefault="009D4BFF" w:rsidP="009D4BFF">
      <w:pPr>
        <w:pStyle w:val="Titolo2"/>
        <w:rPr>
          <w:highlight w:val="green"/>
        </w:rPr>
      </w:pPr>
      <w:bookmarkStart w:id="34" w:name="_Toc346838823"/>
      <w:bookmarkStart w:id="35" w:name="_Toc440869908"/>
      <w:r w:rsidRPr="009D4BFF">
        <w:rPr>
          <w:highlight w:val="green"/>
        </w:rPr>
        <w:t>5. Finanziamento della spesa del titolo II</w:t>
      </w:r>
      <w:bookmarkEnd w:id="34"/>
      <w:bookmarkEnd w:id="35"/>
      <w:r w:rsidRPr="009D4BFF">
        <w:rPr>
          <w:highlight w:val="green"/>
        </w:rPr>
        <w:t xml:space="preserve"> (nello schema 2016-2018)</w:t>
      </w:r>
    </w:p>
    <w:p w:rsidR="009D4BFF" w:rsidRPr="009D4BFF" w:rsidRDefault="009D4BFF" w:rsidP="009D4BFF">
      <w:pPr>
        <w:rPr>
          <w:highlight w:val="green"/>
        </w:rPr>
      </w:pPr>
    </w:p>
    <w:p w:rsidR="009D4BFF" w:rsidRPr="009D4BFF" w:rsidRDefault="009D4BFF" w:rsidP="009D4BFF">
      <w:pPr>
        <w:jc w:val="both"/>
        <w:rPr>
          <w:rFonts w:ascii="Arial" w:hAnsi="Arial" w:cs="Arial"/>
          <w:sz w:val="22"/>
          <w:szCs w:val="22"/>
          <w:highlight w:val="green"/>
        </w:rPr>
      </w:pPr>
      <w:r w:rsidRPr="009D4BFF">
        <w:rPr>
          <w:rFonts w:ascii="Arial" w:hAnsi="Arial" w:cs="Arial"/>
          <w:sz w:val="22"/>
          <w:szCs w:val="22"/>
          <w:highlight w:val="green"/>
        </w:rPr>
        <w:t>Il titolo II della spesa, al netto del fondo pluriennale vincolato, è finanziato con la seguente previsione di risorse distinta in mezzi propri e mezzi di terzi:</w:t>
      </w:r>
    </w:p>
    <w:p w:rsidR="009D4BFF" w:rsidRPr="009D4BFF" w:rsidRDefault="009D4BFF" w:rsidP="009D4BFF">
      <w:pPr>
        <w:jc w:val="both"/>
        <w:rPr>
          <w:rFonts w:ascii="Arial" w:hAnsi="Arial" w:cs="Arial"/>
          <w:sz w:val="22"/>
          <w:szCs w:val="22"/>
          <w:highlight w:val="green"/>
        </w:rPr>
      </w:pPr>
    </w:p>
    <w:bookmarkStart w:id="36" w:name="_MON_1512278369"/>
    <w:bookmarkEnd w:id="36"/>
    <w:p w:rsidR="009D4BFF" w:rsidRDefault="009D4BFF" w:rsidP="009D4BFF">
      <w:pPr>
        <w:jc w:val="both"/>
        <w:rPr>
          <w:rFonts w:ascii="Arial" w:hAnsi="Arial" w:cs="Arial"/>
          <w:sz w:val="22"/>
          <w:szCs w:val="22"/>
        </w:rPr>
      </w:pPr>
      <w:r w:rsidRPr="009D4BFF">
        <w:rPr>
          <w:rFonts w:ascii="Arial" w:hAnsi="Arial" w:cs="Arial"/>
          <w:sz w:val="22"/>
          <w:szCs w:val="22"/>
          <w:highlight w:val="green"/>
        </w:rPr>
        <w:object w:dxaOrig="8967" w:dyaOrig="4925">
          <v:shape id="_x0000_i1032" type="#_x0000_t75" style="width:448.35pt;height:246.85pt" o:ole="">
            <v:imagedata r:id="rId93" o:title=""/>
          </v:shape>
          <o:OLEObject Type="Embed" ProgID="Excel.Sheet.12" ShapeID="_x0000_i1032" DrawAspect="Content" ObjectID="_1547620560" r:id="rId94"/>
        </w:object>
      </w:r>
    </w:p>
    <w:p w:rsidR="001811EC" w:rsidRDefault="001811EC">
      <w:pPr>
        <w:pStyle w:val="Titolo2"/>
      </w:pPr>
    </w:p>
    <w:p w:rsidR="001811EC" w:rsidRDefault="001811EC">
      <w:pPr>
        <w:pStyle w:val="Titolo2"/>
      </w:pPr>
    </w:p>
    <w:p w:rsidR="001811EC" w:rsidRDefault="001811EC"/>
    <w:p w:rsidR="001811EC" w:rsidRDefault="002121F5">
      <w:pPr>
        <w:pStyle w:val="Titolo2"/>
      </w:pPr>
      <w:bookmarkStart w:id="37" w:name="_Toc469216203"/>
      <w:r>
        <w:t>6. La nota integrativa</w:t>
      </w:r>
      <w:bookmarkEnd w:id="37"/>
    </w:p>
    <w:p w:rsidR="001811EC" w:rsidRDefault="002121F5">
      <w:pPr>
        <w:pStyle w:val="provvr0"/>
        <w:rPr>
          <w:rFonts w:ascii="Arial" w:hAnsi="Arial" w:cs="Arial"/>
        </w:rPr>
      </w:pPr>
      <w:r>
        <w:rPr>
          <w:rFonts w:ascii="Arial" w:hAnsi="Arial" w:cs="Arial"/>
        </w:rPr>
        <w:t>La nota integrativa allegata al bilancio di previsione indica come disposto dal comma 5 dell’</w:t>
      </w:r>
      <w:hyperlink r:id="rId95" w:history="1">
        <w:r>
          <w:rPr>
            <w:rStyle w:val="Collegamentoipertestuale"/>
            <w:rFonts w:ascii="Arial" w:hAnsi="Arial" w:cs="Arial"/>
          </w:rPr>
          <w:t xml:space="preserve">art.11 del </w:t>
        </w:r>
        <w:proofErr w:type="spellStart"/>
        <w:r>
          <w:rPr>
            <w:rStyle w:val="Collegamentoipertestuale"/>
            <w:rFonts w:ascii="Arial" w:hAnsi="Arial" w:cs="Arial"/>
          </w:rPr>
          <w:t>D.Lgs.</w:t>
        </w:r>
        <w:proofErr w:type="spellEnd"/>
        <w:r>
          <w:rPr>
            <w:rStyle w:val="Collegamentoipertestuale"/>
            <w:rFonts w:ascii="Arial" w:hAnsi="Arial" w:cs="Arial"/>
          </w:rPr>
          <w:t xml:space="preserve"> 23/6/2011 n.118</w:t>
        </w:r>
      </w:hyperlink>
      <w:r>
        <w:rPr>
          <w:rFonts w:ascii="Arial" w:hAnsi="Arial" w:cs="Arial"/>
        </w:rPr>
        <w:t xml:space="preserve"> tutte le seguenti informazioni:</w:t>
      </w:r>
    </w:p>
    <w:p w:rsidR="001811EC" w:rsidRDefault="002121F5">
      <w:pPr>
        <w:pStyle w:val="Paragrafoelenco"/>
        <w:numPr>
          <w:ilvl w:val="0"/>
          <w:numId w:val="21"/>
        </w:numPr>
        <w:jc w:val="both"/>
        <w:rPr>
          <w:rFonts w:ascii="Arial" w:hAnsi="Arial" w:cs="Arial"/>
        </w:rPr>
      </w:pPr>
      <w:r>
        <w:rPr>
          <w:rFonts w:ascii="Arial" w:hAnsi="Arial" w:cs="Arial"/>
        </w:rPr>
        <w:t xml:space="preserve">i criteri di valutazione adottati per la formulazione delle previsioni, con particolare riferimento agli stanziamenti riguardanti gli accantonamenti per le spese potenziali e al fondo crediti di dubbia esigibilità, dando illustrazione dei crediti per i quali non è previsto l'accantonamento a tale fondo; </w:t>
      </w:r>
    </w:p>
    <w:p w:rsidR="001811EC" w:rsidRDefault="002121F5">
      <w:pPr>
        <w:pStyle w:val="Paragrafoelenco"/>
        <w:numPr>
          <w:ilvl w:val="0"/>
          <w:numId w:val="21"/>
        </w:numPr>
        <w:jc w:val="both"/>
        <w:rPr>
          <w:rFonts w:ascii="Arial" w:hAnsi="Arial" w:cs="Arial"/>
        </w:rPr>
      </w:pPr>
      <w:r>
        <w:rPr>
          <w:rFonts w:ascii="Arial" w:hAnsi="Arial" w:cs="Arial"/>
        </w:rPr>
        <w:t xml:space="preserve">l'elenco analitico delle quote vincolate e accantonate del risultato di amministrazione presunto al 31 dicembre dell'esercizio precedente, distinguendo i vincoli derivanti dalla legge e dai principi contabili, dai trasferimenti, da mutui e altri finanziamenti, vincoli formalmente attribuiti dall'ente; </w:t>
      </w:r>
    </w:p>
    <w:p w:rsidR="001811EC" w:rsidRDefault="002121F5">
      <w:pPr>
        <w:pStyle w:val="Paragrafoelenco"/>
        <w:numPr>
          <w:ilvl w:val="0"/>
          <w:numId w:val="21"/>
        </w:numPr>
        <w:jc w:val="both"/>
        <w:rPr>
          <w:rFonts w:ascii="Arial" w:hAnsi="Arial" w:cs="Arial"/>
        </w:rPr>
      </w:pPr>
      <w:r>
        <w:rPr>
          <w:rFonts w:ascii="Arial" w:hAnsi="Arial" w:cs="Arial"/>
        </w:rPr>
        <w:t xml:space="preserve">l'elenco analitico degli utilizzi delle quote vincolate e accantonate del risultato di amministrazione presunto, distinguendo i vincoli derivanti dalla legge e dai principi contabili, dai trasferimenti, da mutui e altri finanziamenti, vincoli formalmente attribuiti dall'ente; </w:t>
      </w:r>
    </w:p>
    <w:p w:rsidR="001811EC" w:rsidRDefault="002121F5">
      <w:pPr>
        <w:pStyle w:val="Paragrafoelenco"/>
        <w:numPr>
          <w:ilvl w:val="0"/>
          <w:numId w:val="21"/>
        </w:numPr>
        <w:jc w:val="both"/>
        <w:rPr>
          <w:rFonts w:ascii="Arial" w:hAnsi="Arial" w:cs="Arial"/>
        </w:rPr>
      </w:pPr>
      <w:r>
        <w:rPr>
          <w:rFonts w:ascii="Arial" w:hAnsi="Arial" w:cs="Arial"/>
        </w:rPr>
        <w:t xml:space="preserve">l'elenco degli interventi programmati per spese di investimento finanziati col ricorso al debito e con le risorse disponibili; </w:t>
      </w:r>
    </w:p>
    <w:p w:rsidR="001811EC" w:rsidRDefault="002121F5">
      <w:pPr>
        <w:pStyle w:val="Paragrafoelenco"/>
        <w:numPr>
          <w:ilvl w:val="0"/>
          <w:numId w:val="21"/>
        </w:numPr>
        <w:jc w:val="both"/>
        <w:rPr>
          <w:rFonts w:ascii="Arial" w:hAnsi="Arial" w:cs="Arial"/>
        </w:rPr>
      </w:pPr>
      <w:r>
        <w:rPr>
          <w:rFonts w:ascii="Arial" w:hAnsi="Arial" w:cs="Arial"/>
        </w:rPr>
        <w:t xml:space="preserve">nel caso in cui gli stanziamenti riguardanti il fondo pluriennale vincolato comprendono anche investimenti ancora in corso di definizione, le cause che non hanno reso possibile porre in essere la programmazione necessaria alla definizione dei relativi cronoprogrammi; </w:t>
      </w:r>
    </w:p>
    <w:p w:rsidR="001811EC" w:rsidRDefault="002121F5">
      <w:pPr>
        <w:pStyle w:val="Paragrafoelenco"/>
        <w:numPr>
          <w:ilvl w:val="0"/>
          <w:numId w:val="21"/>
        </w:numPr>
        <w:jc w:val="both"/>
        <w:rPr>
          <w:rFonts w:ascii="Arial" w:hAnsi="Arial" w:cs="Arial"/>
        </w:rPr>
      </w:pPr>
      <w:r>
        <w:rPr>
          <w:rFonts w:ascii="Arial" w:hAnsi="Arial" w:cs="Arial"/>
        </w:rPr>
        <w:t xml:space="preserve">l'elenco delle garanzie principali o sussidiarie prestate dall'ente a favore di enti e di altri soggetti ai sensi delle leggi vigenti; </w:t>
      </w:r>
    </w:p>
    <w:p w:rsidR="001811EC" w:rsidRDefault="002121F5">
      <w:pPr>
        <w:pStyle w:val="Paragrafoelenco"/>
        <w:numPr>
          <w:ilvl w:val="0"/>
          <w:numId w:val="21"/>
        </w:numPr>
        <w:jc w:val="both"/>
        <w:rPr>
          <w:rFonts w:ascii="Arial" w:hAnsi="Arial" w:cs="Arial"/>
        </w:rPr>
      </w:pPr>
      <w:r>
        <w:rPr>
          <w:rFonts w:ascii="Arial" w:hAnsi="Arial" w:cs="Arial"/>
        </w:rPr>
        <w:t xml:space="preserve">gli oneri e gli impegni finanziari stimati e stanziati in bilancio, derivanti da contratti relativi a strumenti finanziari derivati o da contratti di finanziamento che includono una componente derivata; </w:t>
      </w:r>
    </w:p>
    <w:p w:rsidR="001811EC" w:rsidRDefault="002121F5">
      <w:pPr>
        <w:pStyle w:val="Paragrafoelenco"/>
        <w:numPr>
          <w:ilvl w:val="0"/>
          <w:numId w:val="21"/>
        </w:numPr>
        <w:jc w:val="both"/>
        <w:rPr>
          <w:rFonts w:ascii="Arial" w:hAnsi="Arial" w:cs="Arial"/>
        </w:rPr>
      </w:pPr>
      <w:r>
        <w:rPr>
          <w:rFonts w:ascii="Arial" w:hAnsi="Arial" w:cs="Arial"/>
        </w:rPr>
        <w:t xml:space="preserve">l'elenco dei propri enti ed organismi strumentali, precisando che i relativi bilanci consuntivi sono consultabili nel proprio sito internet fermo restando quanto previsto per gli enti locali </w:t>
      </w:r>
      <w:hyperlink r:id="rId96" w:history="1">
        <w:r>
          <w:rPr>
            <w:rStyle w:val="Collegamentoipertestuale"/>
            <w:rFonts w:ascii="Arial" w:hAnsi="Arial" w:cs="Arial"/>
          </w:rPr>
          <w:t>dall'</w:t>
        </w:r>
        <w:r>
          <w:rPr>
            <w:rStyle w:val="Collegamentoipertestuale"/>
            <w:rFonts w:ascii="Arial" w:hAnsi="Arial" w:cs="Arial"/>
            <w:i/>
            <w:iCs/>
          </w:rPr>
          <w:t xml:space="preserve">art. 172, comma 1, lettera a) del </w:t>
        </w:r>
        <w:proofErr w:type="spellStart"/>
        <w:r>
          <w:rPr>
            <w:rStyle w:val="Collegamentoipertestuale"/>
            <w:rFonts w:ascii="Arial" w:hAnsi="Arial" w:cs="Arial"/>
            <w:i/>
            <w:iCs/>
          </w:rPr>
          <w:t>Tuel</w:t>
        </w:r>
        <w:proofErr w:type="spellEnd"/>
      </w:hyperlink>
      <w:r>
        <w:rPr>
          <w:rFonts w:ascii="Arial" w:hAnsi="Arial" w:cs="Arial"/>
          <w:i/>
          <w:iCs/>
        </w:rPr>
        <w:t>;</w:t>
      </w:r>
      <w:r>
        <w:rPr>
          <w:rFonts w:ascii="Arial" w:hAnsi="Arial" w:cs="Arial"/>
        </w:rPr>
        <w:t xml:space="preserve"> </w:t>
      </w:r>
    </w:p>
    <w:p w:rsidR="001811EC" w:rsidRDefault="002121F5">
      <w:pPr>
        <w:pStyle w:val="Paragrafoelenco"/>
        <w:numPr>
          <w:ilvl w:val="0"/>
          <w:numId w:val="21"/>
        </w:numPr>
        <w:jc w:val="both"/>
        <w:rPr>
          <w:rFonts w:ascii="Arial" w:hAnsi="Arial" w:cs="Arial"/>
        </w:rPr>
      </w:pPr>
      <w:r>
        <w:rPr>
          <w:rFonts w:ascii="Arial" w:hAnsi="Arial" w:cs="Arial"/>
        </w:rPr>
        <w:t xml:space="preserve">l'elenco delle partecipazioni possedute con l'indicazione della relativa quota percentuale; </w:t>
      </w:r>
    </w:p>
    <w:p w:rsidR="001811EC" w:rsidRDefault="002121F5">
      <w:pPr>
        <w:pStyle w:val="Paragrafoelenco"/>
        <w:numPr>
          <w:ilvl w:val="0"/>
          <w:numId w:val="21"/>
        </w:numPr>
        <w:jc w:val="both"/>
        <w:rPr>
          <w:rFonts w:ascii="Arial" w:hAnsi="Arial" w:cs="Arial"/>
        </w:rPr>
      </w:pPr>
      <w:r>
        <w:rPr>
          <w:rFonts w:ascii="Arial" w:hAnsi="Arial" w:cs="Arial"/>
        </w:rPr>
        <w:t>altre informazioni riguardanti le previsioni, richieste dalla legge o necessarie per l'interpretazione del bilancio.</w:t>
      </w:r>
    </w:p>
    <w:p w:rsidR="001811EC" w:rsidRDefault="001811EC">
      <w:pPr>
        <w:rPr>
          <w:rFonts w:ascii="Arial" w:hAnsi="Arial" w:cs="Arial"/>
        </w:rPr>
      </w:pPr>
    </w:p>
    <w:p w:rsidR="001811EC" w:rsidRDefault="002121F5">
      <w:pPr>
        <w:jc w:val="both"/>
        <w:rPr>
          <w:rFonts w:ascii="Arial" w:hAnsi="Arial" w:cs="Arial"/>
          <w:i/>
          <w:sz w:val="20"/>
        </w:rPr>
      </w:pPr>
      <w:r>
        <w:rPr>
          <w:rFonts w:ascii="Arial" w:hAnsi="Arial" w:cs="Arial"/>
          <w:i/>
          <w:sz w:val="20"/>
        </w:rPr>
        <w:t>(Indicare i punti non illustrati nella nota integrativa o le eventuali carenze nelle informazioni indicate nella stessa)</w:t>
      </w:r>
    </w:p>
    <w:p w:rsidR="001811EC" w:rsidRDefault="001811EC">
      <w:pPr>
        <w:jc w:val="both"/>
        <w:rPr>
          <w:rFonts w:ascii="Arial" w:hAnsi="Arial" w:cs="Arial"/>
          <w:sz w:val="20"/>
        </w:rPr>
      </w:pPr>
    </w:p>
    <w:p w:rsidR="001811EC" w:rsidRDefault="001811EC">
      <w:pPr>
        <w:rPr>
          <w:rFonts w:ascii="Arial" w:hAnsi="Arial" w:cs="Arial"/>
          <w:sz w:val="20"/>
        </w:rPr>
      </w:pPr>
    </w:p>
    <w:p w:rsidR="001811EC" w:rsidRDefault="001811EC">
      <w:pPr>
        <w:rPr>
          <w:rFonts w:ascii="Arial" w:hAnsi="Arial" w:cs="Arial"/>
          <w:sz w:val="20"/>
        </w:rPr>
      </w:pPr>
    </w:p>
    <w:p w:rsidR="001811EC" w:rsidRDefault="001811EC">
      <w:pPr>
        <w:rPr>
          <w:rFonts w:ascii="Arial" w:hAnsi="Arial" w:cs="Arial"/>
          <w:sz w:val="20"/>
        </w:rPr>
      </w:pPr>
    </w:p>
    <w:p w:rsidR="001811EC" w:rsidRDefault="001811EC">
      <w:pPr>
        <w:rPr>
          <w:rFonts w:ascii="Arial" w:hAnsi="Arial" w:cs="Arial"/>
          <w:sz w:val="20"/>
        </w:rPr>
      </w:pPr>
    </w:p>
    <w:p w:rsidR="001811EC" w:rsidRDefault="001811EC">
      <w:pPr>
        <w:rPr>
          <w:rFonts w:ascii="Arial" w:hAnsi="Arial" w:cs="Arial"/>
          <w:sz w:val="20"/>
        </w:rPr>
      </w:pPr>
    </w:p>
    <w:p w:rsidR="001811EC" w:rsidRDefault="001811EC">
      <w:pPr>
        <w:rPr>
          <w:rFonts w:ascii="Arial" w:hAnsi="Arial" w:cs="Arial"/>
          <w:sz w:val="20"/>
        </w:rPr>
      </w:pPr>
    </w:p>
    <w:p w:rsidR="009D4BFF" w:rsidRDefault="009D4BFF">
      <w:pPr>
        <w:rPr>
          <w:rFonts w:ascii="Arial" w:hAnsi="Arial" w:cs="Arial"/>
          <w:sz w:val="20"/>
        </w:rPr>
      </w:pPr>
      <w:bookmarkStart w:id="38" w:name="_VERIFICA_COERENZA_DELLE"/>
      <w:bookmarkStart w:id="39" w:name="_Toc346838827"/>
      <w:bookmarkStart w:id="40" w:name="_Toc469216204"/>
      <w:bookmarkEnd w:id="38"/>
      <w:r>
        <w:rPr>
          <w:b/>
          <w:i/>
          <w:sz w:val="20"/>
        </w:rPr>
        <w:br w:type="page"/>
      </w:r>
    </w:p>
    <w:p w:rsidR="001811EC" w:rsidRDefault="002121F5">
      <w:pPr>
        <w:pStyle w:val="Titolo1"/>
        <w:shd w:val="clear" w:color="auto" w:fill="B6DDE8" w:themeFill="accent5" w:themeFillTint="66"/>
      </w:pPr>
      <w:r>
        <w:lastRenderedPageBreak/>
        <w:t>VERIFICA COERENZA DELLE PREVISIONI</w:t>
      </w:r>
      <w:bookmarkEnd w:id="39"/>
      <w:bookmarkEnd w:id="40"/>
    </w:p>
    <w:p w:rsidR="001811EC" w:rsidRDefault="002121F5">
      <w:pPr>
        <w:pStyle w:val="Titolo2"/>
      </w:pPr>
      <w:bookmarkStart w:id="41" w:name="_Toc346838828"/>
      <w:bookmarkStart w:id="42" w:name="_Toc469216205"/>
      <w:r>
        <w:t>7. Verifica della coerenza interna</w:t>
      </w:r>
      <w:bookmarkEnd w:id="41"/>
      <w:bookmarkEnd w:id="42"/>
    </w:p>
    <w:p w:rsidR="001811EC" w:rsidRDefault="001811EC">
      <w:pPr>
        <w:spacing w:after="60"/>
        <w:rPr>
          <w:rFonts w:ascii="Arial" w:hAnsi="Arial" w:cs="Arial"/>
          <w:b/>
          <w:sz w:val="22"/>
          <w:szCs w:val="22"/>
          <w:u w:val="single"/>
        </w:rPr>
      </w:pPr>
    </w:p>
    <w:p w:rsidR="001811EC" w:rsidRDefault="002121F5">
      <w:pPr>
        <w:spacing w:after="60"/>
        <w:jc w:val="both"/>
        <w:rPr>
          <w:rFonts w:ascii="Arial" w:hAnsi="Arial" w:cs="Arial"/>
          <w:sz w:val="22"/>
          <w:szCs w:val="22"/>
        </w:rPr>
      </w:pPr>
      <w:r>
        <w:rPr>
          <w:rFonts w:ascii="Arial" w:hAnsi="Arial" w:cs="Arial"/>
          <w:sz w:val="22"/>
          <w:szCs w:val="22"/>
        </w:rPr>
        <w:t>L’organo di revisione ritiene che le previsioni per gli anni 2017-2019 siano coerenti con gli strumenti di programmazione di mandato, con il documento unico di programmazione e con gli atti di programmazione di settore (piano triennale dei lavori pubblici, programmazione fabbisogno del personale, piano alienazioni e valorizzazione patrimonio immobiliare ecc.).</w:t>
      </w:r>
    </w:p>
    <w:p w:rsidR="001811EC" w:rsidRDefault="001811EC">
      <w:pPr>
        <w:spacing w:after="60"/>
        <w:jc w:val="both"/>
        <w:rPr>
          <w:rFonts w:ascii="Arial" w:hAnsi="Arial" w:cs="Arial"/>
          <w:sz w:val="22"/>
          <w:szCs w:val="22"/>
        </w:rPr>
      </w:pPr>
    </w:p>
    <w:p w:rsidR="001811EC" w:rsidRDefault="002121F5">
      <w:pPr>
        <w:jc w:val="both"/>
        <w:rPr>
          <w:rFonts w:ascii="Arial" w:hAnsi="Arial" w:cs="Arial"/>
          <w:b/>
          <w:sz w:val="22"/>
          <w:szCs w:val="22"/>
          <w:u w:val="single"/>
        </w:rPr>
      </w:pPr>
      <w:r>
        <w:rPr>
          <w:rFonts w:ascii="Arial" w:hAnsi="Arial" w:cs="Arial"/>
          <w:b/>
          <w:sz w:val="22"/>
          <w:szCs w:val="22"/>
          <w:u w:val="single"/>
        </w:rPr>
        <w:t>7.1. Verifica contenuto informativo ed illustrativo del documento unico di programmazione DUP</w:t>
      </w:r>
    </w:p>
    <w:p w:rsidR="001811EC" w:rsidRDefault="001811EC">
      <w:pPr>
        <w:autoSpaceDE w:val="0"/>
        <w:autoSpaceDN w:val="0"/>
        <w:adjustRightInd w:val="0"/>
        <w:rPr>
          <w:rFonts w:ascii="Arial" w:hAnsi="Arial" w:cs="Arial"/>
          <w:b/>
          <w:bCs/>
          <w:sz w:val="22"/>
          <w:szCs w:val="22"/>
        </w:rPr>
      </w:pPr>
    </w:p>
    <w:p w:rsidR="001811EC" w:rsidRDefault="002121F5">
      <w:pPr>
        <w:jc w:val="both"/>
        <w:rPr>
          <w:rFonts w:ascii="Arial" w:hAnsi="Arial" w:cs="Arial"/>
          <w:sz w:val="22"/>
          <w:szCs w:val="22"/>
        </w:rPr>
      </w:pPr>
      <w:r>
        <w:rPr>
          <w:rFonts w:ascii="Arial" w:hAnsi="Arial" w:cs="Arial"/>
          <w:sz w:val="22"/>
          <w:szCs w:val="22"/>
        </w:rPr>
        <w:t>Il Documento Unico di Programmazione (DUP), è stato predisposto dalla Giunta secondo lo schema dettato dal Principio contabile applicato alla programmazione (</w:t>
      </w:r>
      <w:hyperlink r:id="rId97" w:history="1">
        <w:r>
          <w:rPr>
            <w:rStyle w:val="Collegamentoipertestuale"/>
            <w:rFonts w:ascii="Arial" w:hAnsi="Arial" w:cs="Arial"/>
            <w:sz w:val="22"/>
            <w:szCs w:val="22"/>
          </w:rPr>
          <w:t>Allegato n. 4/1</w:t>
        </w:r>
      </w:hyperlink>
      <w:r>
        <w:rPr>
          <w:rFonts w:ascii="Arial" w:hAnsi="Arial" w:cs="Arial"/>
          <w:sz w:val="22"/>
          <w:szCs w:val="22"/>
        </w:rPr>
        <w:t xml:space="preserve"> al </w:t>
      </w:r>
      <w:hyperlink r:id="rId98" w:history="1">
        <w:proofErr w:type="spellStart"/>
        <w:r>
          <w:rPr>
            <w:rStyle w:val="Collegamentoipertestuale"/>
            <w:rFonts w:ascii="Arial" w:hAnsi="Arial" w:cs="Arial"/>
            <w:sz w:val="22"/>
            <w:szCs w:val="22"/>
          </w:rPr>
          <w:t>D.Lgs.</w:t>
        </w:r>
        <w:proofErr w:type="spellEnd"/>
        <w:r>
          <w:rPr>
            <w:rStyle w:val="Collegamentoipertestuale"/>
            <w:rFonts w:ascii="Arial" w:hAnsi="Arial" w:cs="Arial"/>
            <w:sz w:val="22"/>
            <w:szCs w:val="22"/>
          </w:rPr>
          <w:t xml:space="preserve"> 118/2011</w:t>
        </w:r>
      </w:hyperlink>
      <w:r>
        <w:rPr>
          <w:rFonts w:ascii="Arial" w:hAnsi="Arial" w:cs="Arial"/>
          <w:sz w:val="22"/>
          <w:szCs w:val="22"/>
        </w:rPr>
        <w:t>).</w:t>
      </w:r>
    </w:p>
    <w:p w:rsidR="001811EC" w:rsidRDefault="002121F5">
      <w:pPr>
        <w:jc w:val="both"/>
        <w:rPr>
          <w:rFonts w:ascii="Arial" w:hAnsi="Arial" w:cs="Arial"/>
          <w:i/>
          <w:sz w:val="22"/>
          <w:szCs w:val="22"/>
        </w:rPr>
      </w:pPr>
      <w:r>
        <w:rPr>
          <w:rFonts w:ascii="Arial" w:hAnsi="Arial" w:cs="Arial"/>
          <w:sz w:val="22"/>
          <w:szCs w:val="22"/>
        </w:rPr>
        <w:t>Sul DUP e/o relativa nota di aggiornamento l’organo di revisione ha espresso parere con verbali n….. del ……. e numero…… del…… attestando la sua coerenza, attendibilità e congruità (</w:t>
      </w:r>
      <w:r>
        <w:rPr>
          <w:rFonts w:ascii="Arial" w:hAnsi="Arial" w:cs="Arial"/>
          <w:i/>
          <w:sz w:val="22"/>
          <w:szCs w:val="22"/>
        </w:rPr>
        <w:t>oppure: rilevando le seguenti criticità in ordine alla coerenza, attendibilità e congruità).</w:t>
      </w:r>
    </w:p>
    <w:p w:rsidR="001811EC" w:rsidRDefault="001811EC">
      <w:pPr>
        <w:rPr>
          <w:rFonts w:ascii="Arial" w:hAnsi="Arial" w:cs="Arial"/>
          <w:sz w:val="22"/>
          <w:szCs w:val="22"/>
        </w:rPr>
      </w:pPr>
    </w:p>
    <w:p w:rsidR="001811EC" w:rsidRDefault="002121F5">
      <w:pPr>
        <w:jc w:val="both"/>
        <w:rPr>
          <w:rFonts w:ascii="Arial" w:hAnsi="Arial" w:cs="Arial"/>
          <w:i/>
          <w:color w:val="365F91" w:themeColor="accent1" w:themeShade="BF"/>
          <w:sz w:val="20"/>
          <w:szCs w:val="20"/>
        </w:rPr>
      </w:pPr>
      <w:r>
        <w:rPr>
          <w:rFonts w:ascii="Arial" w:hAnsi="Arial" w:cs="Arial"/>
          <w:i/>
          <w:color w:val="365F91" w:themeColor="accent1" w:themeShade="BF"/>
          <w:sz w:val="20"/>
          <w:szCs w:val="20"/>
        </w:rPr>
        <w:t>(Il DUP:</w:t>
      </w:r>
    </w:p>
    <w:p w:rsidR="001811EC" w:rsidRDefault="002121F5">
      <w:pPr>
        <w:jc w:val="both"/>
        <w:rPr>
          <w:rFonts w:ascii="Arial" w:hAnsi="Arial" w:cs="Arial"/>
          <w:i/>
          <w:color w:val="365F91" w:themeColor="accent1" w:themeShade="BF"/>
          <w:sz w:val="20"/>
          <w:szCs w:val="20"/>
        </w:rPr>
      </w:pPr>
      <w:r>
        <w:rPr>
          <w:rFonts w:ascii="Arial" w:hAnsi="Arial" w:cs="Arial"/>
          <w:b/>
          <w:bCs/>
          <w:i/>
          <w:color w:val="365F91" w:themeColor="accent1" w:themeShade="BF"/>
          <w:sz w:val="20"/>
          <w:szCs w:val="20"/>
        </w:rPr>
        <w:t xml:space="preserve">- </w:t>
      </w:r>
      <w:r>
        <w:rPr>
          <w:rFonts w:ascii="Arial" w:hAnsi="Arial" w:cs="Arial"/>
          <w:i/>
          <w:color w:val="365F91" w:themeColor="accent1" w:themeShade="BF"/>
          <w:sz w:val="20"/>
          <w:szCs w:val="20"/>
        </w:rPr>
        <w:t>si compone di due sezioni: la Sezione Strategica (</w:t>
      </w:r>
      <w:proofErr w:type="spellStart"/>
      <w:r>
        <w:rPr>
          <w:rFonts w:ascii="Arial" w:hAnsi="Arial" w:cs="Arial"/>
          <w:i/>
          <w:color w:val="365F91" w:themeColor="accent1" w:themeShade="BF"/>
          <w:sz w:val="20"/>
          <w:szCs w:val="20"/>
        </w:rPr>
        <w:t>SeS</w:t>
      </w:r>
      <w:proofErr w:type="spellEnd"/>
      <w:r>
        <w:rPr>
          <w:rFonts w:ascii="Arial" w:hAnsi="Arial" w:cs="Arial"/>
          <w:i/>
          <w:color w:val="365F91" w:themeColor="accent1" w:themeShade="BF"/>
          <w:sz w:val="20"/>
          <w:szCs w:val="20"/>
        </w:rPr>
        <w:t>) e la Sezione Operativa (</w:t>
      </w:r>
      <w:proofErr w:type="spellStart"/>
      <w:r>
        <w:rPr>
          <w:rFonts w:ascii="Arial" w:hAnsi="Arial" w:cs="Arial"/>
          <w:i/>
          <w:color w:val="365F91" w:themeColor="accent1" w:themeShade="BF"/>
          <w:sz w:val="20"/>
          <w:szCs w:val="20"/>
        </w:rPr>
        <w:t>SeO</w:t>
      </w:r>
      <w:proofErr w:type="spellEnd"/>
      <w:r>
        <w:rPr>
          <w:rFonts w:ascii="Arial" w:hAnsi="Arial" w:cs="Arial"/>
          <w:i/>
          <w:color w:val="365F91" w:themeColor="accent1" w:themeShade="BF"/>
          <w:sz w:val="20"/>
          <w:szCs w:val="20"/>
        </w:rPr>
        <w:t>), la prima con un orizzonte temporale di riferimento pari a quello del mandato amministrativo, la seconda pari a quello del bilancio di previsione;</w:t>
      </w:r>
    </w:p>
    <w:p w:rsidR="001811EC" w:rsidRDefault="001811EC">
      <w:pPr>
        <w:jc w:val="both"/>
        <w:rPr>
          <w:rFonts w:ascii="Arial" w:hAnsi="Arial" w:cs="Arial"/>
          <w:i/>
          <w:color w:val="365F91" w:themeColor="accent1" w:themeShade="BF"/>
          <w:sz w:val="20"/>
          <w:szCs w:val="20"/>
        </w:rPr>
      </w:pPr>
    </w:p>
    <w:p w:rsidR="001811EC" w:rsidRDefault="002121F5">
      <w:pPr>
        <w:jc w:val="both"/>
        <w:rPr>
          <w:rFonts w:ascii="Arial" w:hAnsi="Arial" w:cs="Arial"/>
          <w:i/>
          <w:color w:val="365F91" w:themeColor="accent1" w:themeShade="BF"/>
          <w:sz w:val="20"/>
          <w:szCs w:val="20"/>
        </w:rPr>
      </w:pPr>
      <w:r>
        <w:rPr>
          <w:rFonts w:ascii="Arial" w:hAnsi="Arial" w:cs="Arial"/>
          <w:b/>
          <w:bCs/>
          <w:i/>
          <w:color w:val="365F91" w:themeColor="accent1" w:themeShade="BF"/>
          <w:sz w:val="20"/>
          <w:szCs w:val="20"/>
        </w:rPr>
        <w:t xml:space="preserve">- </w:t>
      </w:r>
      <w:r>
        <w:rPr>
          <w:rFonts w:ascii="Arial" w:hAnsi="Arial" w:cs="Arial"/>
          <w:i/>
          <w:color w:val="365F91" w:themeColor="accent1" w:themeShade="BF"/>
          <w:sz w:val="20"/>
          <w:szCs w:val="20"/>
        </w:rPr>
        <w:t xml:space="preserve">la </w:t>
      </w:r>
      <w:proofErr w:type="spellStart"/>
      <w:r>
        <w:rPr>
          <w:rFonts w:ascii="Arial" w:hAnsi="Arial" w:cs="Arial"/>
          <w:i/>
          <w:color w:val="365F91" w:themeColor="accent1" w:themeShade="BF"/>
          <w:sz w:val="20"/>
          <w:szCs w:val="20"/>
        </w:rPr>
        <w:t>SeS</w:t>
      </w:r>
      <w:proofErr w:type="spellEnd"/>
      <w:r>
        <w:rPr>
          <w:rFonts w:ascii="Arial" w:hAnsi="Arial" w:cs="Arial"/>
          <w:i/>
          <w:color w:val="365F91" w:themeColor="accent1" w:themeShade="BF"/>
          <w:sz w:val="20"/>
          <w:szCs w:val="20"/>
        </w:rPr>
        <w:t xml:space="preserve"> sviluppa e concretizza le linee programmatiche di mandato di cui all’</w:t>
      </w:r>
      <w:hyperlink r:id="rId99" w:history="1">
        <w:r>
          <w:rPr>
            <w:rStyle w:val="Collegamentoipertestuale"/>
            <w:rFonts w:ascii="Arial" w:hAnsi="Arial" w:cs="Arial"/>
            <w:i/>
            <w:sz w:val="20"/>
            <w:szCs w:val="20"/>
          </w:rPr>
          <w:t>art. 46 comma 3 del decreto legislativo 18 agosto 2000, n. 267</w:t>
        </w:r>
      </w:hyperlink>
      <w:r>
        <w:rPr>
          <w:rFonts w:ascii="Arial" w:hAnsi="Arial" w:cs="Arial"/>
          <w:i/>
          <w:color w:val="365F91" w:themeColor="accent1" w:themeShade="BF"/>
          <w:sz w:val="20"/>
          <w:szCs w:val="20"/>
        </w:rPr>
        <w:t xml:space="preserve"> e individua, in coerenza con il quadro normativo di riferimento, gli indirizzi strategici dell’ente;</w:t>
      </w:r>
    </w:p>
    <w:p w:rsidR="001811EC" w:rsidRDefault="001811EC">
      <w:pPr>
        <w:jc w:val="both"/>
        <w:rPr>
          <w:rFonts w:ascii="Arial" w:hAnsi="Arial" w:cs="Arial"/>
          <w:i/>
          <w:color w:val="365F91" w:themeColor="accent1" w:themeShade="BF"/>
          <w:sz w:val="20"/>
          <w:szCs w:val="20"/>
        </w:rPr>
      </w:pPr>
    </w:p>
    <w:p w:rsidR="001811EC" w:rsidRDefault="002121F5">
      <w:pPr>
        <w:jc w:val="both"/>
        <w:rPr>
          <w:rFonts w:ascii="Arial" w:hAnsi="Arial" w:cs="Arial"/>
          <w:i/>
          <w:color w:val="365F91" w:themeColor="accent1" w:themeShade="BF"/>
          <w:sz w:val="20"/>
          <w:szCs w:val="20"/>
        </w:rPr>
      </w:pPr>
      <w:r>
        <w:rPr>
          <w:rFonts w:ascii="Arial" w:hAnsi="Arial" w:cs="Arial"/>
          <w:b/>
          <w:bCs/>
          <w:i/>
          <w:color w:val="365F91" w:themeColor="accent1" w:themeShade="BF"/>
          <w:sz w:val="20"/>
          <w:szCs w:val="20"/>
        </w:rPr>
        <w:t xml:space="preserve">- </w:t>
      </w:r>
      <w:r>
        <w:rPr>
          <w:rFonts w:ascii="Arial" w:hAnsi="Arial" w:cs="Arial"/>
          <w:i/>
          <w:color w:val="365F91" w:themeColor="accent1" w:themeShade="BF"/>
          <w:sz w:val="20"/>
          <w:szCs w:val="20"/>
        </w:rPr>
        <w:t xml:space="preserve">la </w:t>
      </w:r>
      <w:proofErr w:type="spellStart"/>
      <w:r>
        <w:rPr>
          <w:rFonts w:ascii="Arial" w:hAnsi="Arial" w:cs="Arial"/>
          <w:i/>
          <w:color w:val="365F91" w:themeColor="accent1" w:themeShade="BF"/>
          <w:sz w:val="20"/>
          <w:szCs w:val="20"/>
        </w:rPr>
        <w:t>SeO</w:t>
      </w:r>
      <w:proofErr w:type="spellEnd"/>
      <w:r>
        <w:rPr>
          <w:rFonts w:ascii="Arial" w:hAnsi="Arial" w:cs="Arial"/>
          <w:i/>
          <w:color w:val="365F91" w:themeColor="accent1" w:themeShade="BF"/>
          <w:sz w:val="20"/>
          <w:szCs w:val="20"/>
        </w:rPr>
        <w:t xml:space="preserve"> è redatta, per il suo contenuto finanziario, per competenza e cassa, si fonda su valutazioni di natura economico-patrimoniale, copre un arco temporale pari a quello del bilancio di previsione e individua, per ogni singola missione, i programmi che l’ente intende realizzare per conseguire gli obiettivi strategici definiti nella </w:t>
      </w:r>
      <w:proofErr w:type="spellStart"/>
      <w:r>
        <w:rPr>
          <w:rFonts w:ascii="Arial" w:hAnsi="Arial" w:cs="Arial"/>
          <w:i/>
          <w:color w:val="365F91" w:themeColor="accent1" w:themeShade="BF"/>
          <w:sz w:val="20"/>
          <w:szCs w:val="20"/>
        </w:rPr>
        <w:t>SeS</w:t>
      </w:r>
      <w:proofErr w:type="spellEnd"/>
      <w:r>
        <w:rPr>
          <w:rFonts w:ascii="Arial" w:hAnsi="Arial" w:cs="Arial"/>
          <w:i/>
          <w:color w:val="365F91" w:themeColor="accent1" w:themeShade="BF"/>
          <w:sz w:val="20"/>
          <w:szCs w:val="20"/>
        </w:rPr>
        <w:t>;</w:t>
      </w:r>
    </w:p>
    <w:p w:rsidR="001811EC" w:rsidRDefault="001811EC">
      <w:pPr>
        <w:jc w:val="both"/>
        <w:rPr>
          <w:rFonts w:ascii="Arial" w:hAnsi="Arial" w:cs="Arial"/>
          <w:i/>
          <w:color w:val="365F91" w:themeColor="accent1" w:themeShade="BF"/>
          <w:sz w:val="20"/>
          <w:szCs w:val="20"/>
        </w:rPr>
      </w:pPr>
    </w:p>
    <w:p w:rsidR="001811EC" w:rsidRDefault="002121F5">
      <w:pPr>
        <w:jc w:val="both"/>
        <w:rPr>
          <w:rFonts w:ascii="Arial" w:hAnsi="Arial" w:cs="Arial"/>
          <w:i/>
          <w:color w:val="365F91" w:themeColor="accent1" w:themeShade="BF"/>
          <w:sz w:val="20"/>
          <w:szCs w:val="20"/>
        </w:rPr>
      </w:pPr>
      <w:r>
        <w:rPr>
          <w:rFonts w:ascii="Arial" w:hAnsi="Arial" w:cs="Arial"/>
          <w:b/>
          <w:bCs/>
          <w:i/>
          <w:color w:val="365F91" w:themeColor="accent1" w:themeShade="BF"/>
          <w:sz w:val="20"/>
          <w:szCs w:val="20"/>
        </w:rPr>
        <w:t xml:space="preserve">- </w:t>
      </w:r>
      <w:r>
        <w:rPr>
          <w:rFonts w:ascii="Arial" w:hAnsi="Arial" w:cs="Arial"/>
          <w:i/>
          <w:color w:val="365F91" w:themeColor="accent1" w:themeShade="BF"/>
          <w:sz w:val="20"/>
          <w:szCs w:val="20"/>
        </w:rPr>
        <w:t xml:space="preserve">la </w:t>
      </w:r>
      <w:proofErr w:type="spellStart"/>
      <w:r>
        <w:rPr>
          <w:rFonts w:ascii="Arial" w:hAnsi="Arial" w:cs="Arial"/>
          <w:i/>
          <w:color w:val="365F91" w:themeColor="accent1" w:themeShade="BF"/>
          <w:sz w:val="20"/>
          <w:szCs w:val="20"/>
        </w:rPr>
        <w:t>SeO</w:t>
      </w:r>
      <w:proofErr w:type="spellEnd"/>
      <w:r>
        <w:rPr>
          <w:rFonts w:ascii="Arial" w:hAnsi="Arial" w:cs="Arial"/>
          <w:i/>
          <w:color w:val="365F91" w:themeColor="accent1" w:themeShade="BF"/>
          <w:sz w:val="20"/>
          <w:szCs w:val="20"/>
        </w:rPr>
        <w:t xml:space="preserve"> è suddivisa nelle due parti previste e riporta il contenuto minimo previsto dal  Principio contabile applicato della programmazione  e più in generale è redatta secondo le indicazioni contenute nel citato principio contabile.)</w:t>
      </w:r>
    </w:p>
    <w:p w:rsidR="001811EC" w:rsidRDefault="001811EC">
      <w:pPr>
        <w:rPr>
          <w:rFonts w:ascii="Arial" w:hAnsi="Arial" w:cs="Arial"/>
          <w:b/>
          <w:color w:val="548DD4" w:themeColor="text2" w:themeTint="99"/>
          <w:sz w:val="22"/>
          <w:szCs w:val="22"/>
          <w:u w:val="single"/>
        </w:rPr>
      </w:pPr>
    </w:p>
    <w:p w:rsidR="001811EC" w:rsidRDefault="002121F5">
      <w:pPr>
        <w:jc w:val="both"/>
        <w:rPr>
          <w:rFonts w:ascii="Arial" w:hAnsi="Arial" w:cs="Arial"/>
          <w:b/>
          <w:sz w:val="22"/>
          <w:szCs w:val="22"/>
          <w:u w:val="single"/>
        </w:rPr>
      </w:pPr>
      <w:r w:rsidRPr="00B7794D">
        <w:rPr>
          <w:rFonts w:ascii="Arial" w:hAnsi="Arial" w:cs="Arial"/>
          <w:b/>
          <w:sz w:val="22"/>
          <w:szCs w:val="22"/>
          <w:highlight w:val="yellow"/>
          <w:u w:val="single"/>
        </w:rPr>
        <w:t xml:space="preserve">7.2. il </w:t>
      </w:r>
      <w:proofErr w:type="spellStart"/>
      <w:r w:rsidRPr="00B7794D">
        <w:rPr>
          <w:rFonts w:ascii="Arial" w:hAnsi="Arial" w:cs="Arial"/>
          <w:b/>
          <w:sz w:val="22"/>
          <w:szCs w:val="22"/>
          <w:highlight w:val="yellow"/>
          <w:u w:val="single"/>
        </w:rPr>
        <w:t>Dup</w:t>
      </w:r>
      <w:proofErr w:type="spellEnd"/>
      <w:r w:rsidRPr="00B7794D">
        <w:rPr>
          <w:rFonts w:ascii="Arial" w:hAnsi="Arial" w:cs="Arial"/>
          <w:b/>
          <w:sz w:val="22"/>
          <w:szCs w:val="22"/>
          <w:highlight w:val="yellow"/>
          <w:u w:val="single"/>
        </w:rPr>
        <w:t xml:space="preserve"> contiene i seguenti strumenti obbligatori di programmazione di settore che sono coerenti con le previsioni di bilancio</w:t>
      </w:r>
    </w:p>
    <w:p w:rsidR="001811EC" w:rsidRDefault="001811EC">
      <w:pPr>
        <w:spacing w:after="60"/>
        <w:rPr>
          <w:rFonts w:ascii="Arial" w:hAnsi="Arial" w:cs="Arial"/>
          <w:b/>
          <w:sz w:val="22"/>
          <w:szCs w:val="22"/>
        </w:rPr>
      </w:pPr>
    </w:p>
    <w:p w:rsidR="001811EC" w:rsidRDefault="002121F5">
      <w:pPr>
        <w:spacing w:after="60"/>
        <w:rPr>
          <w:rFonts w:ascii="Arial" w:hAnsi="Arial" w:cs="Arial"/>
          <w:b/>
          <w:sz w:val="22"/>
          <w:szCs w:val="22"/>
        </w:rPr>
      </w:pPr>
      <w:r>
        <w:rPr>
          <w:rFonts w:ascii="Arial" w:hAnsi="Arial" w:cs="Arial"/>
          <w:b/>
          <w:sz w:val="22"/>
          <w:szCs w:val="22"/>
        </w:rPr>
        <w:t>7.2.1. Programma triennale lavori pubblici</w:t>
      </w:r>
    </w:p>
    <w:p w:rsidR="001811EC" w:rsidRDefault="002121F5">
      <w:pPr>
        <w:jc w:val="both"/>
        <w:rPr>
          <w:rFonts w:ascii="Arial" w:hAnsi="Arial" w:cs="Arial"/>
          <w:sz w:val="22"/>
          <w:szCs w:val="22"/>
        </w:rPr>
      </w:pPr>
      <w:r>
        <w:rPr>
          <w:rFonts w:ascii="Arial" w:hAnsi="Arial" w:cs="Arial"/>
          <w:sz w:val="22"/>
          <w:szCs w:val="22"/>
        </w:rPr>
        <w:t xml:space="preserve">Il programma triennale ed elenco annuale dei lavori pubblici di cui </w:t>
      </w:r>
      <w:hyperlink r:id="rId100" w:history="1">
        <w:r>
          <w:rPr>
            <w:rStyle w:val="Collegamentoipertestuale"/>
            <w:rFonts w:ascii="Arial" w:hAnsi="Arial" w:cs="Arial"/>
            <w:sz w:val="22"/>
            <w:szCs w:val="22"/>
          </w:rPr>
          <w:t xml:space="preserve">all’art. 128 del </w:t>
        </w:r>
        <w:proofErr w:type="spellStart"/>
        <w:r>
          <w:rPr>
            <w:rStyle w:val="Collegamentoipertestuale"/>
            <w:rFonts w:ascii="Arial" w:hAnsi="Arial" w:cs="Arial"/>
            <w:sz w:val="22"/>
            <w:szCs w:val="22"/>
          </w:rPr>
          <w:t>D.Lgs.</w:t>
        </w:r>
        <w:proofErr w:type="spellEnd"/>
        <w:r>
          <w:rPr>
            <w:rStyle w:val="Collegamentoipertestuale"/>
            <w:rFonts w:ascii="Arial" w:hAnsi="Arial" w:cs="Arial"/>
            <w:sz w:val="22"/>
            <w:szCs w:val="22"/>
          </w:rPr>
          <w:t xml:space="preserve"> 163/2006</w:t>
        </w:r>
      </w:hyperlink>
      <w:r>
        <w:rPr>
          <w:rFonts w:ascii="Arial" w:hAnsi="Arial" w:cs="Arial"/>
          <w:sz w:val="22"/>
          <w:szCs w:val="22"/>
        </w:rPr>
        <w:t xml:space="preserve">, è stato redatto conformemente alle indicazioni e agli schemi di cui al </w:t>
      </w:r>
      <w:hyperlink r:id="rId101" w:history="1">
        <w:r>
          <w:rPr>
            <w:rStyle w:val="Collegamentoipertestuale"/>
            <w:rFonts w:ascii="Arial" w:hAnsi="Arial" w:cs="Arial"/>
            <w:sz w:val="22"/>
            <w:szCs w:val="22"/>
          </w:rPr>
          <w:t>DM 11/11/2011 del Ministero delle infrastrutture e dei trasporti</w:t>
        </w:r>
      </w:hyperlink>
      <w:r>
        <w:rPr>
          <w:rFonts w:ascii="Arial" w:hAnsi="Arial" w:cs="Arial"/>
          <w:sz w:val="22"/>
          <w:szCs w:val="22"/>
        </w:rPr>
        <w:t>, ed adottato dall’organo esecutivo con atto n……. del…….</w:t>
      </w:r>
    </w:p>
    <w:p w:rsidR="001811EC" w:rsidRDefault="002121F5">
      <w:pPr>
        <w:jc w:val="both"/>
        <w:rPr>
          <w:rFonts w:ascii="Arial" w:hAnsi="Arial" w:cs="Arial"/>
          <w:sz w:val="22"/>
          <w:szCs w:val="22"/>
        </w:rPr>
      </w:pPr>
      <w:r>
        <w:rPr>
          <w:rFonts w:ascii="Arial" w:hAnsi="Arial" w:cs="Arial"/>
          <w:sz w:val="22"/>
          <w:szCs w:val="22"/>
        </w:rPr>
        <w:t>Lo schema di programma è stato pubblicato per</w:t>
      </w:r>
      <w:r>
        <w:rPr>
          <w:rFonts w:ascii="Arial" w:hAnsi="Arial" w:cs="Arial"/>
          <w:i/>
          <w:sz w:val="22"/>
          <w:szCs w:val="22"/>
        </w:rPr>
        <w:t xml:space="preserve"> 60</w:t>
      </w:r>
      <w:r>
        <w:rPr>
          <w:rFonts w:ascii="Arial" w:hAnsi="Arial" w:cs="Arial"/>
          <w:sz w:val="22"/>
          <w:szCs w:val="22"/>
        </w:rPr>
        <w:t xml:space="preserve"> giorni consecutivi.</w:t>
      </w:r>
    </w:p>
    <w:p w:rsidR="001811EC" w:rsidRDefault="001811EC">
      <w:pPr>
        <w:jc w:val="both"/>
        <w:rPr>
          <w:rFonts w:ascii="Arial" w:hAnsi="Arial" w:cs="Arial"/>
          <w:sz w:val="20"/>
        </w:rPr>
      </w:pPr>
    </w:p>
    <w:p w:rsidR="001811EC" w:rsidRDefault="002121F5">
      <w:pPr>
        <w:jc w:val="both"/>
        <w:rPr>
          <w:rFonts w:ascii="Arial" w:hAnsi="Arial" w:cs="Arial"/>
          <w:sz w:val="22"/>
          <w:szCs w:val="22"/>
        </w:rPr>
      </w:pPr>
      <w:r>
        <w:rPr>
          <w:rFonts w:ascii="Arial" w:hAnsi="Arial" w:cs="Arial"/>
          <w:sz w:val="22"/>
          <w:szCs w:val="22"/>
        </w:rPr>
        <w:t>Nello stesso sono indicati:</w:t>
      </w:r>
    </w:p>
    <w:p w:rsidR="001811EC" w:rsidRDefault="002121F5">
      <w:pPr>
        <w:numPr>
          <w:ilvl w:val="0"/>
          <w:numId w:val="4"/>
        </w:numPr>
        <w:spacing w:before="120"/>
        <w:ind w:left="357" w:hanging="357"/>
        <w:jc w:val="both"/>
        <w:rPr>
          <w:rFonts w:ascii="Arial" w:hAnsi="Arial" w:cs="Arial"/>
          <w:sz w:val="22"/>
          <w:szCs w:val="22"/>
        </w:rPr>
      </w:pPr>
      <w:r>
        <w:rPr>
          <w:rFonts w:ascii="Arial" w:hAnsi="Arial" w:cs="Arial"/>
          <w:sz w:val="22"/>
          <w:szCs w:val="22"/>
        </w:rPr>
        <w:t>i lavori di singolo importo superiore a 100.000 euro;</w:t>
      </w:r>
    </w:p>
    <w:p w:rsidR="001811EC" w:rsidRDefault="002121F5">
      <w:pPr>
        <w:numPr>
          <w:ilvl w:val="0"/>
          <w:numId w:val="4"/>
        </w:numPr>
        <w:spacing w:before="120"/>
        <w:ind w:left="357" w:hanging="357"/>
        <w:jc w:val="both"/>
        <w:rPr>
          <w:rFonts w:ascii="Arial" w:hAnsi="Arial" w:cs="Arial"/>
          <w:sz w:val="22"/>
          <w:szCs w:val="22"/>
        </w:rPr>
      </w:pPr>
      <w:r>
        <w:rPr>
          <w:rFonts w:ascii="Arial" w:hAnsi="Arial" w:cs="Arial"/>
          <w:sz w:val="22"/>
          <w:szCs w:val="22"/>
        </w:rPr>
        <w:t>le priorità e le azioni da intraprendere come richiesto dall’</w:t>
      </w:r>
      <w:hyperlink r:id="rId102" w:history="1">
        <w:r>
          <w:rPr>
            <w:rStyle w:val="Collegamentoipertestuale"/>
            <w:rFonts w:ascii="Arial" w:hAnsi="Arial" w:cs="Arial"/>
            <w:sz w:val="22"/>
            <w:szCs w:val="22"/>
          </w:rPr>
          <w:t xml:space="preserve">art. 128 del </w:t>
        </w:r>
        <w:proofErr w:type="spellStart"/>
        <w:r>
          <w:rPr>
            <w:rStyle w:val="Collegamentoipertestuale"/>
            <w:rFonts w:ascii="Arial" w:hAnsi="Arial" w:cs="Arial"/>
            <w:sz w:val="22"/>
            <w:szCs w:val="22"/>
          </w:rPr>
          <w:t>D.Lgs.</w:t>
        </w:r>
        <w:proofErr w:type="spellEnd"/>
        <w:r>
          <w:rPr>
            <w:rStyle w:val="Collegamentoipertestuale"/>
            <w:rFonts w:ascii="Arial" w:hAnsi="Arial" w:cs="Arial"/>
            <w:sz w:val="22"/>
            <w:szCs w:val="22"/>
          </w:rPr>
          <w:t xml:space="preserve"> 163/2006</w:t>
        </w:r>
      </w:hyperlink>
      <w:r>
        <w:rPr>
          <w:rFonts w:ascii="Arial" w:hAnsi="Arial" w:cs="Arial"/>
          <w:sz w:val="22"/>
          <w:szCs w:val="22"/>
        </w:rPr>
        <w:t>, considerando comunque prioritari i lavori di manutenzione, recupero patrimonio, completamento lavori, progetti esecutivi approvati, interventi con possibilità di finanziamento privato maggioritario;</w:t>
      </w:r>
    </w:p>
    <w:p w:rsidR="001811EC" w:rsidRDefault="002121F5">
      <w:pPr>
        <w:numPr>
          <w:ilvl w:val="0"/>
          <w:numId w:val="4"/>
        </w:numPr>
        <w:spacing w:before="120"/>
        <w:ind w:left="357" w:hanging="357"/>
        <w:jc w:val="both"/>
        <w:rPr>
          <w:rFonts w:ascii="Arial" w:hAnsi="Arial" w:cs="Arial"/>
          <w:sz w:val="22"/>
          <w:szCs w:val="22"/>
        </w:rPr>
      </w:pPr>
      <w:r>
        <w:rPr>
          <w:rFonts w:ascii="Arial" w:hAnsi="Arial" w:cs="Arial"/>
          <w:sz w:val="22"/>
          <w:szCs w:val="22"/>
        </w:rPr>
        <w:t>la stima, nell’elenco annuale, dei tempi di esecuzione (</w:t>
      </w:r>
      <w:r>
        <w:rPr>
          <w:rFonts w:ascii="Arial" w:hAnsi="Arial" w:cs="Arial"/>
          <w:b/>
          <w:sz w:val="20"/>
          <w:szCs w:val="22"/>
        </w:rPr>
        <w:t>trimestre/anno di inizio e fine lavori</w:t>
      </w:r>
      <w:r>
        <w:rPr>
          <w:rFonts w:ascii="Arial" w:hAnsi="Arial" w:cs="Arial"/>
          <w:sz w:val="22"/>
          <w:szCs w:val="22"/>
        </w:rPr>
        <w:t>);</w:t>
      </w:r>
    </w:p>
    <w:p w:rsidR="001811EC" w:rsidRDefault="002121F5">
      <w:pPr>
        <w:numPr>
          <w:ilvl w:val="0"/>
          <w:numId w:val="4"/>
        </w:numPr>
        <w:spacing w:before="120"/>
        <w:ind w:left="357" w:hanging="357"/>
        <w:jc w:val="both"/>
        <w:rPr>
          <w:rFonts w:ascii="Arial" w:hAnsi="Arial" w:cs="Arial"/>
          <w:sz w:val="22"/>
          <w:szCs w:val="22"/>
        </w:rPr>
      </w:pPr>
      <w:r>
        <w:rPr>
          <w:rFonts w:ascii="Arial" w:hAnsi="Arial" w:cs="Arial"/>
          <w:sz w:val="22"/>
          <w:szCs w:val="22"/>
        </w:rPr>
        <w:lastRenderedPageBreak/>
        <w:t>la stima dei fabbisogni espressi in termini sia di competenza, sia di cassa, al fine del relativo finanziamento in coerenza con i vincoli di finanza pubblica.</w:t>
      </w:r>
    </w:p>
    <w:p w:rsidR="001811EC" w:rsidRDefault="002121F5">
      <w:pPr>
        <w:spacing w:before="120"/>
        <w:jc w:val="both"/>
        <w:rPr>
          <w:rFonts w:ascii="Arial" w:hAnsi="Arial" w:cs="Arial"/>
          <w:sz w:val="22"/>
          <w:szCs w:val="22"/>
        </w:rPr>
      </w:pPr>
      <w:r>
        <w:rPr>
          <w:rFonts w:ascii="Arial" w:hAnsi="Arial" w:cs="Arial"/>
          <w:sz w:val="22"/>
          <w:szCs w:val="22"/>
        </w:rPr>
        <w:t>Per gli interventi contenuti nell’elenco annuale d’importo superiore a 1.000.000 di euro, ad eccezione degli interventi</w:t>
      </w:r>
      <w:r>
        <w:rPr>
          <w:rFonts w:ascii="Arial" w:hAnsi="Arial" w:cs="Arial"/>
          <w:i/>
          <w:sz w:val="22"/>
          <w:szCs w:val="22"/>
        </w:rPr>
        <w:t xml:space="preserve"> </w:t>
      </w:r>
      <w:r>
        <w:rPr>
          <w:rFonts w:ascii="Arial" w:hAnsi="Arial" w:cs="Arial"/>
          <w:sz w:val="22"/>
          <w:szCs w:val="22"/>
        </w:rPr>
        <w:t>di manutenzione, la giunta ha provveduto all’approvazione dei progetti preliminari e per quelli di importo inferiore ha approvato uno studio di fattibilità.  Per i lavori inclusi nell’elenco annuale è stata perfezionata la conformità urbanistica ed ambientale.</w:t>
      </w:r>
    </w:p>
    <w:p w:rsidR="001811EC" w:rsidRDefault="002121F5">
      <w:pPr>
        <w:spacing w:before="120"/>
        <w:jc w:val="both"/>
        <w:rPr>
          <w:rFonts w:ascii="Arial" w:hAnsi="Arial" w:cs="Arial"/>
          <w:sz w:val="22"/>
          <w:szCs w:val="22"/>
        </w:rPr>
      </w:pPr>
      <w:r>
        <w:rPr>
          <w:rFonts w:ascii="Arial" w:hAnsi="Arial" w:cs="Arial"/>
          <w:sz w:val="22"/>
          <w:szCs w:val="22"/>
        </w:rPr>
        <w:t>Gli importi inclusi nello schema relativi ad interventi con onere a carico dell’ente trovano riferimento nel bilancio di previsione 2017-2019 ed il crono programma dei pagamenti è compatibile con le previsioni di pagamenti del titolo II indicate nel bilancio di cassa.</w:t>
      </w:r>
    </w:p>
    <w:p w:rsidR="001811EC" w:rsidRDefault="001811EC">
      <w:pPr>
        <w:spacing w:line="80" w:lineRule="exact"/>
        <w:jc w:val="both"/>
        <w:rPr>
          <w:rFonts w:ascii="Arial" w:hAnsi="Arial" w:cs="Arial"/>
          <w:sz w:val="22"/>
          <w:szCs w:val="22"/>
        </w:rPr>
      </w:pPr>
    </w:p>
    <w:p w:rsidR="001811EC" w:rsidRDefault="002121F5">
      <w:pPr>
        <w:spacing w:before="120"/>
        <w:jc w:val="both"/>
        <w:rPr>
          <w:rFonts w:ascii="Arial" w:hAnsi="Arial" w:cs="Arial"/>
          <w:sz w:val="22"/>
          <w:szCs w:val="22"/>
        </w:rPr>
      </w:pPr>
      <w:r>
        <w:rPr>
          <w:rFonts w:ascii="Arial" w:hAnsi="Arial" w:cs="Arial"/>
          <w:sz w:val="22"/>
          <w:szCs w:val="22"/>
        </w:rPr>
        <w:t>Il programma, dopo la sua approvazione consiliare, dovrà essere trasmesso all’Osservatorio dei lavori pubblici.</w:t>
      </w:r>
    </w:p>
    <w:p w:rsidR="001811EC" w:rsidRDefault="001811EC">
      <w:pPr>
        <w:rPr>
          <w:rFonts w:ascii="Arial" w:hAnsi="Arial" w:cs="Arial"/>
          <w:b/>
          <w:sz w:val="20"/>
        </w:rPr>
      </w:pPr>
    </w:p>
    <w:p w:rsidR="001811EC" w:rsidRDefault="002121F5">
      <w:pPr>
        <w:rPr>
          <w:rFonts w:ascii="Arial" w:hAnsi="Arial" w:cs="Arial"/>
          <w:b/>
          <w:sz w:val="22"/>
          <w:szCs w:val="22"/>
        </w:rPr>
      </w:pPr>
      <w:r>
        <w:rPr>
          <w:rFonts w:ascii="Arial" w:hAnsi="Arial" w:cs="Arial"/>
          <w:b/>
          <w:sz w:val="22"/>
          <w:szCs w:val="22"/>
        </w:rPr>
        <w:t>7.2.2. Programmazione del fabbisogno del personale</w:t>
      </w:r>
    </w:p>
    <w:p w:rsidR="001811EC" w:rsidRDefault="001811EC">
      <w:pPr>
        <w:rPr>
          <w:rFonts w:ascii="Arial" w:hAnsi="Arial" w:cs="Arial"/>
          <w:b/>
          <w:sz w:val="20"/>
        </w:rPr>
      </w:pPr>
    </w:p>
    <w:p w:rsidR="001811EC" w:rsidRDefault="002121F5">
      <w:pPr>
        <w:jc w:val="both"/>
        <w:rPr>
          <w:rFonts w:ascii="Arial" w:hAnsi="Arial" w:cs="Arial"/>
          <w:sz w:val="22"/>
          <w:szCs w:val="22"/>
        </w:rPr>
      </w:pPr>
      <w:r>
        <w:rPr>
          <w:rFonts w:ascii="Arial" w:hAnsi="Arial" w:cs="Arial"/>
          <w:sz w:val="22"/>
          <w:szCs w:val="22"/>
        </w:rPr>
        <w:t>La programmazione del fabbisogno di personale prevista dall’</w:t>
      </w:r>
      <w:hyperlink r:id="rId103" w:history="1">
        <w:r>
          <w:rPr>
            <w:rStyle w:val="Collegamentoipertestuale"/>
            <w:rFonts w:ascii="Arial" w:hAnsi="Arial" w:cs="Arial"/>
            <w:sz w:val="22"/>
            <w:szCs w:val="22"/>
          </w:rPr>
          <w:t>art.39, comma 1 della Legge 449/1997</w:t>
        </w:r>
      </w:hyperlink>
      <w:r>
        <w:rPr>
          <w:rFonts w:ascii="Arial" w:hAnsi="Arial" w:cs="Arial"/>
          <w:sz w:val="22"/>
          <w:szCs w:val="22"/>
        </w:rPr>
        <w:t xml:space="preserve"> e dall’</w:t>
      </w:r>
      <w:hyperlink r:id="rId104" w:history="1">
        <w:r>
          <w:rPr>
            <w:rStyle w:val="Collegamentoipertestuale"/>
            <w:rFonts w:ascii="Arial" w:hAnsi="Arial" w:cs="Arial"/>
            <w:sz w:val="22"/>
            <w:szCs w:val="22"/>
          </w:rPr>
          <w:t xml:space="preserve">art.6 del </w:t>
        </w:r>
        <w:proofErr w:type="spellStart"/>
        <w:r>
          <w:rPr>
            <w:rStyle w:val="Collegamentoipertestuale"/>
            <w:rFonts w:ascii="Arial" w:hAnsi="Arial" w:cs="Arial"/>
            <w:sz w:val="22"/>
            <w:szCs w:val="22"/>
          </w:rPr>
          <w:t>D.Lgs.</w:t>
        </w:r>
        <w:proofErr w:type="spellEnd"/>
        <w:r>
          <w:rPr>
            <w:rStyle w:val="Collegamentoipertestuale"/>
            <w:rFonts w:ascii="Arial" w:hAnsi="Arial" w:cs="Arial"/>
            <w:sz w:val="22"/>
            <w:szCs w:val="22"/>
          </w:rPr>
          <w:t xml:space="preserve"> 165/2001</w:t>
        </w:r>
      </w:hyperlink>
      <w:r>
        <w:rPr>
          <w:rFonts w:ascii="Arial" w:hAnsi="Arial" w:cs="Arial"/>
          <w:sz w:val="22"/>
          <w:szCs w:val="22"/>
        </w:rPr>
        <w:t xml:space="preserve"> è stata approvata con specifico atto. Su tale atto l’organo di revisione ha formulato il parere con verbale n …… in data…….. ai sensi dell’</w:t>
      </w:r>
      <w:hyperlink r:id="rId105" w:history="1">
        <w:r>
          <w:rPr>
            <w:rStyle w:val="Collegamentoipertestuale"/>
            <w:rFonts w:ascii="Arial" w:hAnsi="Arial" w:cs="Arial"/>
            <w:sz w:val="22"/>
            <w:szCs w:val="22"/>
          </w:rPr>
          <w:t>art.19 della Legge 448/2001</w:t>
        </w:r>
      </w:hyperlink>
      <w:r>
        <w:rPr>
          <w:rFonts w:ascii="Arial" w:hAnsi="Arial" w:cs="Arial"/>
          <w:sz w:val="22"/>
          <w:szCs w:val="22"/>
        </w:rPr>
        <w:t>.</w:t>
      </w:r>
    </w:p>
    <w:p w:rsidR="001811EC" w:rsidRDefault="001811EC">
      <w:pPr>
        <w:jc w:val="both"/>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L’atto oltre ad assicurare le esigenze di funzionalità e d’ottimizzazione delle risorse per il miglior funzionamento dei servizi, prevede una riduzione della spesa attraverso il contenimento della dinamica retributiva ed occupazionale.</w:t>
      </w:r>
    </w:p>
    <w:p w:rsidR="001811EC" w:rsidRDefault="002121F5">
      <w:pPr>
        <w:jc w:val="both"/>
        <w:rPr>
          <w:rFonts w:ascii="Arial" w:hAnsi="Arial" w:cs="Arial"/>
          <w:sz w:val="22"/>
          <w:szCs w:val="22"/>
        </w:rPr>
      </w:pPr>
      <w:r>
        <w:rPr>
          <w:rFonts w:ascii="Arial" w:hAnsi="Arial" w:cs="Arial"/>
          <w:sz w:val="22"/>
          <w:szCs w:val="22"/>
        </w:rPr>
        <w:t xml:space="preserve"> </w:t>
      </w:r>
    </w:p>
    <w:p w:rsidR="001811EC" w:rsidRDefault="002121F5">
      <w:pPr>
        <w:jc w:val="both"/>
        <w:rPr>
          <w:rFonts w:ascii="Arial" w:hAnsi="Arial" w:cs="Arial"/>
          <w:sz w:val="22"/>
          <w:szCs w:val="22"/>
        </w:rPr>
      </w:pPr>
      <w:r>
        <w:rPr>
          <w:rFonts w:ascii="Arial" w:hAnsi="Arial" w:cs="Arial"/>
          <w:sz w:val="22"/>
          <w:szCs w:val="22"/>
        </w:rPr>
        <w:t>Il fabbisogno di personale nel triennio 2017/2019, tiene conto dei vincoli disposti per le assunzioni e per la spesa di personale.</w:t>
      </w:r>
    </w:p>
    <w:p w:rsidR="001811EC" w:rsidRDefault="001811EC">
      <w:pPr>
        <w:jc w:val="both"/>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La previsione triennale è coerente con le esigenze finanziarie espresse nell’atto di programmazione del fabbisogno.</w:t>
      </w:r>
    </w:p>
    <w:p w:rsidR="001811EC" w:rsidRDefault="001811EC">
      <w:pPr>
        <w:jc w:val="both"/>
        <w:rPr>
          <w:rFonts w:ascii="Arial" w:hAnsi="Arial" w:cs="Arial"/>
          <w:b/>
          <w:sz w:val="22"/>
          <w:szCs w:val="22"/>
        </w:rPr>
      </w:pPr>
    </w:p>
    <w:p w:rsidR="001811EC" w:rsidRDefault="002121F5">
      <w:pPr>
        <w:jc w:val="both"/>
        <w:rPr>
          <w:rFonts w:ascii="Arial" w:hAnsi="Arial" w:cs="Arial"/>
          <w:b/>
          <w:sz w:val="22"/>
          <w:szCs w:val="22"/>
        </w:rPr>
      </w:pPr>
      <w:r>
        <w:rPr>
          <w:rFonts w:ascii="Arial" w:hAnsi="Arial" w:cs="Arial"/>
          <w:b/>
          <w:sz w:val="22"/>
          <w:szCs w:val="22"/>
        </w:rPr>
        <w:t xml:space="preserve">7.2.3 Piano triennale di razionalizzazione e riqualificazione della spesa ex </w:t>
      </w:r>
      <w:hyperlink r:id="rId106" w:history="1">
        <w:r>
          <w:rPr>
            <w:rStyle w:val="Collegamentoipertestuale"/>
            <w:rFonts w:ascii="Arial" w:hAnsi="Arial" w:cs="Arial"/>
            <w:b/>
            <w:sz w:val="22"/>
            <w:szCs w:val="22"/>
          </w:rPr>
          <w:t>art. 16, comma 4 del D.L.  98/2011</w:t>
        </w:r>
      </w:hyperlink>
    </w:p>
    <w:p w:rsidR="001811EC" w:rsidRDefault="001811EC">
      <w:pPr>
        <w:jc w:val="both"/>
        <w:rPr>
          <w:rFonts w:ascii="Arial" w:hAnsi="Arial" w:cs="Arial"/>
          <w:b/>
          <w:sz w:val="22"/>
          <w:szCs w:val="22"/>
        </w:rPr>
      </w:pPr>
    </w:p>
    <w:p w:rsidR="001811EC" w:rsidRDefault="002121F5">
      <w:pPr>
        <w:jc w:val="both"/>
        <w:rPr>
          <w:rFonts w:ascii="Arial" w:hAnsi="Arial" w:cs="Arial"/>
          <w:sz w:val="22"/>
          <w:szCs w:val="22"/>
        </w:rPr>
      </w:pPr>
      <w:r>
        <w:rPr>
          <w:rFonts w:ascii="Arial" w:hAnsi="Arial" w:cs="Arial"/>
          <w:sz w:val="22"/>
          <w:szCs w:val="22"/>
        </w:rPr>
        <w:t>Sul piano l’organo di revisione ha espresso parere obbligatorio quale strumento di programmazione economico-finanziaria come disposto dall’</w:t>
      </w:r>
      <w:hyperlink r:id="rId107" w:history="1">
        <w:r>
          <w:rPr>
            <w:rStyle w:val="Collegamentoipertestuale"/>
            <w:rFonts w:ascii="Arial" w:hAnsi="Arial" w:cs="Arial"/>
            <w:sz w:val="22"/>
            <w:szCs w:val="22"/>
          </w:rPr>
          <w:t>art. 239, comma 1, lettera b) punto 1 del TUEL</w:t>
        </w:r>
      </w:hyperlink>
      <w:r>
        <w:rPr>
          <w:rFonts w:ascii="Arial" w:hAnsi="Arial" w:cs="Arial"/>
          <w:sz w:val="22"/>
          <w:szCs w:val="22"/>
        </w:rPr>
        <w:t>, con verbale n……. del ……..;</w:t>
      </w:r>
    </w:p>
    <w:p w:rsidR="001811EC" w:rsidRDefault="001811EC">
      <w:pPr>
        <w:jc w:val="both"/>
        <w:rPr>
          <w:rFonts w:ascii="Arial" w:hAnsi="Arial" w:cs="Arial"/>
          <w:b/>
          <w:sz w:val="22"/>
          <w:szCs w:val="22"/>
        </w:rPr>
      </w:pPr>
    </w:p>
    <w:p w:rsidR="001811EC" w:rsidRDefault="002121F5">
      <w:pPr>
        <w:jc w:val="both"/>
        <w:rPr>
          <w:rFonts w:ascii="Arial" w:hAnsi="Arial" w:cs="Arial"/>
          <w:b/>
          <w:sz w:val="22"/>
          <w:szCs w:val="22"/>
        </w:rPr>
      </w:pPr>
      <w:r>
        <w:rPr>
          <w:rFonts w:ascii="Arial" w:hAnsi="Arial" w:cs="Arial"/>
          <w:b/>
          <w:sz w:val="22"/>
          <w:szCs w:val="22"/>
        </w:rPr>
        <w:t xml:space="preserve">7.2.4. Piano delle alienazioni e valorizzazioni immobiliari ex </w:t>
      </w:r>
      <w:hyperlink r:id="rId108" w:history="1">
        <w:r>
          <w:rPr>
            <w:rStyle w:val="Collegamentoipertestuale"/>
            <w:rFonts w:ascii="Arial" w:hAnsi="Arial" w:cs="Arial"/>
            <w:b/>
            <w:sz w:val="22"/>
            <w:szCs w:val="22"/>
          </w:rPr>
          <w:t>art. 58, comma 1 della  legge 133/2008</w:t>
        </w:r>
      </w:hyperlink>
    </w:p>
    <w:p w:rsidR="001811EC" w:rsidRDefault="001811EC">
      <w:pPr>
        <w:jc w:val="both"/>
        <w:rPr>
          <w:rFonts w:ascii="Arial" w:hAnsi="Arial" w:cs="Arial"/>
          <w:b/>
          <w:sz w:val="22"/>
          <w:szCs w:val="22"/>
        </w:rPr>
      </w:pPr>
    </w:p>
    <w:p w:rsidR="001811EC" w:rsidRDefault="002121F5">
      <w:pPr>
        <w:jc w:val="both"/>
        <w:rPr>
          <w:rFonts w:ascii="Arial" w:hAnsi="Arial" w:cs="Arial"/>
          <w:sz w:val="22"/>
          <w:szCs w:val="22"/>
        </w:rPr>
      </w:pPr>
      <w:r>
        <w:rPr>
          <w:rFonts w:ascii="Arial" w:hAnsi="Arial" w:cs="Arial"/>
          <w:sz w:val="22"/>
          <w:szCs w:val="22"/>
        </w:rPr>
        <w:t>Sul piano l’organo di revisione ha espresso parere obbligatorio quale strumento di programmazione con verbale n…….. del ………….</w:t>
      </w:r>
    </w:p>
    <w:p w:rsidR="001811EC" w:rsidRDefault="001811EC">
      <w:pPr>
        <w:jc w:val="both"/>
        <w:rPr>
          <w:rFonts w:ascii="Arial" w:hAnsi="Arial" w:cs="Arial"/>
          <w:sz w:val="22"/>
          <w:szCs w:val="22"/>
        </w:rPr>
      </w:pPr>
    </w:p>
    <w:p w:rsidR="001811EC" w:rsidRDefault="001811EC">
      <w:pPr>
        <w:spacing w:after="60"/>
        <w:jc w:val="both"/>
        <w:rPr>
          <w:rFonts w:ascii="Arial" w:hAnsi="Arial" w:cs="Arial"/>
          <w:b/>
          <w:i/>
          <w:sz w:val="20"/>
          <w:szCs w:val="20"/>
          <w:u w:val="single"/>
        </w:rPr>
      </w:pPr>
    </w:p>
    <w:p w:rsidR="001811EC" w:rsidRDefault="001811EC">
      <w:pPr>
        <w:pStyle w:val="Titolo2"/>
      </w:pPr>
      <w:bookmarkStart w:id="43" w:name="_Toc346838829"/>
    </w:p>
    <w:p w:rsidR="00B7794D" w:rsidRDefault="00B7794D">
      <w:pPr>
        <w:rPr>
          <w:rFonts w:ascii="Arial" w:hAnsi="Arial" w:cs="Arial"/>
          <w:b/>
          <w:u w:val="single"/>
        </w:rPr>
      </w:pPr>
      <w:r>
        <w:br w:type="page"/>
      </w:r>
    </w:p>
    <w:p w:rsidR="001811EC" w:rsidRDefault="001811EC">
      <w:pPr>
        <w:pStyle w:val="Titolo2"/>
      </w:pPr>
    </w:p>
    <w:p w:rsidR="001811EC" w:rsidRDefault="002121F5">
      <w:pPr>
        <w:pStyle w:val="Titolo2"/>
      </w:pPr>
      <w:bookmarkStart w:id="44" w:name="_Toc469216206"/>
      <w:r>
        <w:t>8.  Verifica della coerenza esterna</w:t>
      </w:r>
      <w:bookmarkEnd w:id="43"/>
      <w:bookmarkEnd w:id="44"/>
    </w:p>
    <w:p w:rsidR="001811EC" w:rsidRDefault="001811EC">
      <w:pPr>
        <w:pStyle w:val="Titolo3"/>
      </w:pPr>
    </w:p>
    <w:p w:rsidR="001811EC" w:rsidRDefault="002121F5">
      <w:pPr>
        <w:rPr>
          <w:rFonts w:ascii="Arial" w:hAnsi="Arial" w:cs="Arial"/>
          <w:b/>
          <w:sz w:val="22"/>
          <w:szCs w:val="22"/>
          <w:u w:val="single"/>
        </w:rPr>
      </w:pPr>
      <w:r>
        <w:rPr>
          <w:rFonts w:ascii="Arial" w:hAnsi="Arial" w:cs="Arial"/>
          <w:b/>
          <w:sz w:val="22"/>
          <w:szCs w:val="22"/>
          <w:u w:val="single"/>
        </w:rPr>
        <w:t>8.1. Saldo di finanza pubblica</w:t>
      </w:r>
    </w:p>
    <w:p w:rsidR="001811EC" w:rsidRDefault="001811EC">
      <w:pPr>
        <w:rPr>
          <w:rFonts w:ascii="Arial" w:hAnsi="Arial" w:cs="Arial"/>
          <w:sz w:val="22"/>
          <w:szCs w:val="22"/>
        </w:rPr>
      </w:pPr>
    </w:p>
    <w:p w:rsidR="001811EC" w:rsidRPr="00B7794D" w:rsidRDefault="002121F5">
      <w:pPr>
        <w:jc w:val="both"/>
        <w:rPr>
          <w:rFonts w:ascii="Arial" w:hAnsi="Arial" w:cs="Arial"/>
          <w:sz w:val="22"/>
          <w:szCs w:val="22"/>
          <w:highlight w:val="yellow"/>
        </w:rPr>
      </w:pPr>
      <w:r w:rsidRPr="00B7794D">
        <w:rPr>
          <w:rFonts w:ascii="Arial" w:hAnsi="Arial" w:cs="Arial"/>
          <w:sz w:val="22"/>
          <w:szCs w:val="22"/>
          <w:highlight w:val="yellow"/>
        </w:rPr>
        <w:t xml:space="preserve">Come disposto dalla </w:t>
      </w:r>
      <w:hyperlink r:id="rId109" w:history="1">
        <w:r w:rsidRPr="00B7794D">
          <w:rPr>
            <w:rStyle w:val="Collegamentoipertestuale"/>
            <w:rFonts w:ascii="Arial" w:hAnsi="Arial" w:cs="Arial"/>
            <w:sz w:val="22"/>
            <w:szCs w:val="22"/>
            <w:highlight w:val="yellow"/>
          </w:rPr>
          <w:t>legge di bilancio 2017</w:t>
        </w:r>
      </w:hyperlink>
      <w:r w:rsidRPr="00B7794D">
        <w:rPr>
          <w:rFonts w:ascii="Arial" w:hAnsi="Arial" w:cs="Arial"/>
          <w:sz w:val="22"/>
          <w:szCs w:val="22"/>
          <w:highlight w:val="yellow"/>
        </w:rPr>
        <w:t xml:space="preserve"> i comuni, le province, le città metropolitane e le province autonome di Trento e Bolzano, devono allegare al bilancio di previsione un prospetto dimostrativo delle previsioni di competenza triennale rilevanti ai fini della verifica del rispetto del saldo di finanza pubblica.</w:t>
      </w:r>
    </w:p>
    <w:p w:rsidR="001811EC" w:rsidRPr="00B7794D" w:rsidRDefault="002121F5">
      <w:pPr>
        <w:jc w:val="both"/>
        <w:rPr>
          <w:rFonts w:ascii="Arial" w:hAnsi="Arial" w:cs="Arial"/>
          <w:sz w:val="22"/>
          <w:szCs w:val="22"/>
          <w:highlight w:val="yellow"/>
        </w:rPr>
      </w:pPr>
      <w:r w:rsidRPr="00B7794D">
        <w:rPr>
          <w:rFonts w:ascii="Arial" w:hAnsi="Arial" w:cs="Arial"/>
          <w:sz w:val="22"/>
          <w:szCs w:val="22"/>
          <w:highlight w:val="yellow"/>
        </w:rPr>
        <w:t>Il saldo quale differenza fra entrate finali e spese finali come eventualmente modificato ai sensi del patto regionale orizzontale e patto nazionale orizzontale, deve essere non negativo.</w:t>
      </w:r>
    </w:p>
    <w:p w:rsidR="001811EC" w:rsidRPr="00B7794D" w:rsidRDefault="002121F5">
      <w:pPr>
        <w:jc w:val="both"/>
        <w:rPr>
          <w:rFonts w:ascii="Arial" w:hAnsi="Arial" w:cs="Arial"/>
          <w:sz w:val="22"/>
          <w:szCs w:val="22"/>
          <w:highlight w:val="yellow"/>
        </w:rPr>
      </w:pPr>
      <w:r w:rsidRPr="00B7794D">
        <w:rPr>
          <w:rFonts w:ascii="Arial" w:hAnsi="Arial" w:cs="Arial"/>
          <w:sz w:val="22"/>
          <w:szCs w:val="22"/>
          <w:highlight w:val="yellow"/>
        </w:rPr>
        <w:t>Per gli anni 2017-2019 nelle entrate e nelle spese finali in termini di competenza è considerato il FPV di entrata e di spesa, al netto della quota riveniente dal ricorso all’indebitamento.</w:t>
      </w:r>
    </w:p>
    <w:p w:rsidR="001811EC" w:rsidRPr="00B7794D" w:rsidRDefault="002121F5">
      <w:pPr>
        <w:jc w:val="both"/>
        <w:rPr>
          <w:rFonts w:ascii="Arial" w:hAnsi="Arial" w:cs="Arial"/>
          <w:sz w:val="22"/>
          <w:szCs w:val="22"/>
          <w:highlight w:val="yellow"/>
        </w:rPr>
      </w:pPr>
      <w:r w:rsidRPr="00B7794D">
        <w:rPr>
          <w:rFonts w:ascii="Arial" w:hAnsi="Arial" w:cs="Arial"/>
          <w:sz w:val="22"/>
          <w:szCs w:val="22"/>
          <w:highlight w:val="yellow"/>
        </w:rPr>
        <w:t>Pertanto la previsione di bilancio 2017/2019 e le successive variazioni devono garantire il rispetto del saldo obiettivo.</w:t>
      </w:r>
    </w:p>
    <w:p w:rsidR="001811EC" w:rsidRDefault="002121F5">
      <w:pPr>
        <w:jc w:val="both"/>
        <w:rPr>
          <w:rFonts w:ascii="Arial" w:hAnsi="Arial" w:cs="Arial"/>
          <w:sz w:val="22"/>
          <w:szCs w:val="22"/>
        </w:rPr>
      </w:pPr>
      <w:r w:rsidRPr="00B7794D">
        <w:rPr>
          <w:rFonts w:ascii="Arial" w:hAnsi="Arial" w:cs="Arial"/>
          <w:sz w:val="22"/>
          <w:szCs w:val="22"/>
          <w:highlight w:val="yellow"/>
        </w:rPr>
        <w:t>In ca</w:t>
      </w:r>
      <w:r w:rsidR="00B7794D">
        <w:rPr>
          <w:rFonts w:ascii="Arial" w:hAnsi="Arial" w:cs="Arial"/>
          <w:sz w:val="22"/>
          <w:szCs w:val="22"/>
          <w:highlight w:val="yellow"/>
        </w:rPr>
        <w:t>so di mancato conseguimento del</w:t>
      </w:r>
      <w:r w:rsidRPr="00B7794D">
        <w:rPr>
          <w:rFonts w:ascii="Arial" w:hAnsi="Arial" w:cs="Arial"/>
          <w:sz w:val="22"/>
          <w:szCs w:val="22"/>
          <w:highlight w:val="yellow"/>
        </w:rPr>
        <w:t xml:space="preserve"> saldo, nell'anno successivo a quello dell'inadempienza:</w:t>
      </w:r>
    </w:p>
    <w:p w:rsidR="001811EC" w:rsidRDefault="001811EC">
      <w:pPr>
        <w:jc w:val="both"/>
        <w:rPr>
          <w:rFonts w:ascii="Arial" w:hAnsi="Arial" w:cs="Arial"/>
          <w:sz w:val="22"/>
          <w:szCs w:val="22"/>
        </w:rPr>
      </w:pPr>
    </w:p>
    <w:p w:rsidR="001811EC" w:rsidRDefault="002121F5">
      <w:pPr>
        <w:ind w:firstLine="708"/>
        <w:jc w:val="both"/>
        <w:rPr>
          <w:rFonts w:ascii="Arial" w:hAnsi="Arial" w:cs="Arial"/>
          <w:sz w:val="22"/>
          <w:szCs w:val="22"/>
        </w:rPr>
      </w:pPr>
      <w:r>
        <w:rPr>
          <w:rFonts w:ascii="Arial" w:hAnsi="Arial" w:cs="Arial"/>
          <w:sz w:val="22"/>
          <w:szCs w:val="22"/>
        </w:rPr>
        <w:t>a) l'ente locale è assoggett</w:t>
      </w:r>
      <w:r w:rsidR="00B7794D">
        <w:rPr>
          <w:rFonts w:ascii="Arial" w:hAnsi="Arial" w:cs="Arial"/>
          <w:sz w:val="22"/>
          <w:szCs w:val="22"/>
        </w:rPr>
        <w:t xml:space="preserve">ato ad una </w:t>
      </w:r>
      <w:r w:rsidR="00B7794D" w:rsidRPr="00B7794D">
        <w:rPr>
          <w:rFonts w:ascii="Arial" w:hAnsi="Arial" w:cs="Arial"/>
          <w:sz w:val="22"/>
          <w:szCs w:val="22"/>
          <w:highlight w:val="yellow"/>
        </w:rPr>
        <w:t>riduzione del fondo sperimentale di</w:t>
      </w:r>
      <w:r w:rsidR="00B7794D">
        <w:rPr>
          <w:rFonts w:ascii="Arial" w:hAnsi="Arial" w:cs="Arial"/>
          <w:sz w:val="22"/>
          <w:szCs w:val="22"/>
          <w:highlight w:val="yellow"/>
        </w:rPr>
        <w:t xml:space="preserve"> riequilibrio o del fondo di solidarietà comunale</w:t>
      </w:r>
      <w:r w:rsidRPr="00B7794D">
        <w:rPr>
          <w:rFonts w:ascii="Arial" w:hAnsi="Arial" w:cs="Arial"/>
          <w:sz w:val="22"/>
          <w:szCs w:val="22"/>
          <w:highlight w:val="yellow"/>
        </w:rPr>
        <w:t xml:space="preserve"> i</w:t>
      </w:r>
      <w:r w:rsidR="00B7794D">
        <w:rPr>
          <w:rFonts w:ascii="Arial" w:hAnsi="Arial" w:cs="Arial"/>
          <w:sz w:val="22"/>
          <w:szCs w:val="22"/>
          <w:highlight w:val="yellow"/>
        </w:rPr>
        <w:t>n misura</w:t>
      </w:r>
      <w:r w:rsidRPr="00B7794D">
        <w:rPr>
          <w:rFonts w:ascii="Arial" w:hAnsi="Arial" w:cs="Arial"/>
          <w:sz w:val="22"/>
          <w:szCs w:val="22"/>
          <w:highlight w:val="yellow"/>
        </w:rPr>
        <w:t xml:space="preserve"> pari all'importo corrispondente al</w:t>
      </w:r>
      <w:r w:rsidR="00B7794D" w:rsidRPr="00B7794D">
        <w:rPr>
          <w:rFonts w:ascii="Arial" w:hAnsi="Arial" w:cs="Arial"/>
          <w:sz w:val="22"/>
          <w:szCs w:val="22"/>
          <w:highlight w:val="yellow"/>
        </w:rPr>
        <w:t>lo scostamento registrato.</w:t>
      </w:r>
      <w:r w:rsidR="00B7794D">
        <w:rPr>
          <w:rFonts w:ascii="Arial" w:hAnsi="Arial" w:cs="Arial"/>
          <w:sz w:val="22"/>
          <w:szCs w:val="22"/>
        </w:rPr>
        <w:t xml:space="preserve">  Le province </w:t>
      </w:r>
      <w:r>
        <w:rPr>
          <w:rFonts w:ascii="Arial" w:hAnsi="Arial" w:cs="Arial"/>
          <w:sz w:val="22"/>
          <w:szCs w:val="22"/>
        </w:rPr>
        <w:t>della Regione siciliana e della Regione Sardegna sono assoggettate alla  riduzione dei trasferimenti erariali nella misura</w:t>
      </w:r>
      <w:r w:rsidR="00B7794D">
        <w:rPr>
          <w:rFonts w:ascii="Arial" w:hAnsi="Arial" w:cs="Arial"/>
          <w:sz w:val="22"/>
          <w:szCs w:val="22"/>
        </w:rPr>
        <w:t xml:space="preserve"> indicata al primo periodo. Gli</w:t>
      </w:r>
      <w:r>
        <w:rPr>
          <w:rFonts w:ascii="Arial" w:hAnsi="Arial" w:cs="Arial"/>
          <w:sz w:val="22"/>
          <w:szCs w:val="22"/>
        </w:rPr>
        <w:t xml:space="preserve"> enti locali delle regioni Friuli Venezia </w:t>
      </w:r>
      <w:r w:rsidR="00B7794D">
        <w:rPr>
          <w:rFonts w:ascii="Arial" w:hAnsi="Arial" w:cs="Arial"/>
          <w:sz w:val="22"/>
          <w:szCs w:val="22"/>
        </w:rPr>
        <w:t xml:space="preserve">Giulia e Valle d'Aosta e delle </w:t>
      </w:r>
      <w:r>
        <w:rPr>
          <w:rFonts w:ascii="Arial" w:hAnsi="Arial" w:cs="Arial"/>
          <w:sz w:val="22"/>
          <w:szCs w:val="22"/>
        </w:rPr>
        <w:t>province autonome di Trento e di Bolzano  sono  assoggettati  ad  una  riduzione  dei trasferimenti correnti erogati dalle medesime regioni o province autonome in misura pari all'importo corrispondente allo scostamento registrato. Le riduzioni assicurano il recupero di cui all’</w:t>
      </w:r>
      <w:hyperlink r:id="rId110" w:history="1">
        <w:r>
          <w:rPr>
            <w:rStyle w:val="Collegamentoipertestuale"/>
            <w:rFonts w:ascii="Arial" w:hAnsi="Arial" w:cs="Arial"/>
            <w:sz w:val="22"/>
            <w:szCs w:val="22"/>
          </w:rPr>
          <w:t>articolo 9, comma 2 della legge 243/2012</w:t>
        </w:r>
      </w:hyperlink>
      <w:r>
        <w:rPr>
          <w:rFonts w:ascii="Arial" w:hAnsi="Arial" w:cs="Arial"/>
          <w:sz w:val="22"/>
          <w:szCs w:val="22"/>
        </w:rPr>
        <w:t xml:space="preserve"> e sono applicate nel triennio successivo a quello di inad</w:t>
      </w:r>
      <w:r w:rsidR="00B7794D">
        <w:rPr>
          <w:rFonts w:ascii="Arial" w:hAnsi="Arial" w:cs="Arial"/>
          <w:sz w:val="22"/>
          <w:szCs w:val="22"/>
        </w:rPr>
        <w:t xml:space="preserve">empienza in quote costanti. In </w:t>
      </w:r>
      <w:r>
        <w:rPr>
          <w:rFonts w:ascii="Arial" w:hAnsi="Arial" w:cs="Arial"/>
          <w:sz w:val="22"/>
          <w:szCs w:val="22"/>
        </w:rPr>
        <w:t>caso di incapienza, per uno o più anni nel triennio di riferimento, gli enti locali sono tenuti a versare all'entrata del bilancio dello Stato le somme residue di ciascuna quota annuale, entro l’anno di competenza delle medesime quote presso  la  competente  sezione  di  tesoreria provinciale dello Stato, al Capo X dell'entrata del bilancio dello Stato, al capitolo 3509, articolo 2. In caso  di  mancato  versamento  delle  predette somme residue nell'anno successivo a quello dell'inadempienza, il recupero è operato con le procedure di cui ai commi 128 e  129  dell'</w:t>
      </w:r>
      <w:hyperlink r:id="rId111" w:history="1">
        <w:r>
          <w:rPr>
            <w:rFonts w:ascii="Arial" w:hAnsi="Arial" w:cs="Arial"/>
            <w:sz w:val="22"/>
            <w:szCs w:val="22"/>
          </w:rPr>
          <w:t>articolo  1</w:t>
        </w:r>
      </w:hyperlink>
      <w:r>
        <w:rPr>
          <w:rFonts w:ascii="Arial" w:hAnsi="Arial" w:cs="Arial"/>
          <w:sz w:val="22"/>
          <w:szCs w:val="22"/>
        </w:rPr>
        <w:t xml:space="preserve">  della </w:t>
      </w:r>
      <w:hyperlink r:id="rId112" w:history="1">
        <w:r>
          <w:rPr>
            <w:rStyle w:val="Collegamentoipertestuale"/>
            <w:rFonts w:ascii="Arial" w:hAnsi="Arial" w:cs="Arial"/>
            <w:sz w:val="22"/>
            <w:szCs w:val="22"/>
          </w:rPr>
          <w:t>legge 24 dicembre 2012, n. 228</w:t>
        </w:r>
      </w:hyperlink>
      <w:r>
        <w:rPr>
          <w:rFonts w:ascii="Arial" w:hAnsi="Arial" w:cs="Arial"/>
          <w:sz w:val="22"/>
          <w:szCs w:val="22"/>
        </w:rPr>
        <w:t>;</w:t>
      </w:r>
    </w:p>
    <w:p w:rsidR="001811EC" w:rsidRDefault="002121F5">
      <w:pPr>
        <w:ind w:firstLine="708"/>
        <w:jc w:val="both"/>
        <w:rPr>
          <w:rFonts w:ascii="Arial" w:hAnsi="Arial" w:cs="Arial"/>
          <w:sz w:val="22"/>
          <w:szCs w:val="22"/>
        </w:rPr>
      </w:pPr>
      <w:r>
        <w:rPr>
          <w:rFonts w:ascii="Arial" w:hAnsi="Arial" w:cs="Arial"/>
          <w:sz w:val="22"/>
          <w:szCs w:val="22"/>
        </w:rPr>
        <w:t>b) nel triennio successivo la regione o la provincia autonoma è tenuta ad effettuare un versamento all'entrata del bilancio  dello  Stato, di importo corrispondente a un terzo dello scostamento registrato, che assicura il recupero di cui all’</w:t>
      </w:r>
      <w:hyperlink r:id="rId113" w:history="1">
        <w:r>
          <w:rPr>
            <w:rStyle w:val="Collegamentoipertestuale"/>
            <w:rFonts w:ascii="Arial" w:hAnsi="Arial" w:cs="Arial"/>
            <w:sz w:val="22"/>
            <w:szCs w:val="22"/>
          </w:rPr>
          <w:t>art. 9 comma 2 della legge 243/2012</w:t>
        </w:r>
      </w:hyperlink>
      <w:r>
        <w:rPr>
          <w:rFonts w:ascii="Arial" w:hAnsi="Arial" w:cs="Arial"/>
          <w:sz w:val="22"/>
          <w:szCs w:val="22"/>
        </w:rPr>
        <w:t>. Il versamento è effettuato entro il 31 maggio di ciascun anno del triennio successivo a quello di inadempienza. In caso di mancato versamento si procede al recupero di detto scostamento a valere sulle giacenze depositate a qualsiasi titolo nei conti aperti presso la tesoreria statale;</w:t>
      </w:r>
    </w:p>
    <w:p w:rsidR="001811EC" w:rsidRDefault="002121F5">
      <w:pPr>
        <w:ind w:firstLine="708"/>
        <w:jc w:val="both"/>
        <w:rPr>
          <w:rFonts w:ascii="Arial" w:hAnsi="Arial" w:cs="Arial"/>
          <w:sz w:val="22"/>
          <w:szCs w:val="22"/>
        </w:rPr>
      </w:pPr>
      <w:r>
        <w:rPr>
          <w:rFonts w:ascii="Arial" w:hAnsi="Arial" w:cs="Arial"/>
          <w:sz w:val="22"/>
          <w:szCs w:val="22"/>
        </w:rPr>
        <w:t xml:space="preserve">c) nell’anno successivo a quello di inadempienza </w:t>
      </w:r>
      <w:r w:rsidRPr="00B7794D">
        <w:rPr>
          <w:rFonts w:ascii="Arial" w:hAnsi="Arial" w:cs="Arial"/>
          <w:sz w:val="22"/>
          <w:szCs w:val="22"/>
          <w:highlight w:val="yellow"/>
        </w:rPr>
        <w:t>l'ente non</w:t>
      </w:r>
      <w:r w:rsidR="00B7794D" w:rsidRPr="00B7794D">
        <w:rPr>
          <w:rFonts w:ascii="Arial" w:hAnsi="Arial" w:cs="Arial"/>
          <w:sz w:val="22"/>
          <w:szCs w:val="22"/>
          <w:highlight w:val="yellow"/>
        </w:rPr>
        <w:t xml:space="preserve"> può impegnare spese correnti, per le regioni al netto delle spese per la sanità, in misura superiore all'importo dei corrispondenti impegni </w:t>
      </w:r>
      <w:r w:rsidRPr="00B7794D">
        <w:rPr>
          <w:rFonts w:ascii="Arial" w:hAnsi="Arial" w:cs="Arial"/>
          <w:sz w:val="22"/>
          <w:szCs w:val="22"/>
          <w:highlight w:val="yellow"/>
        </w:rPr>
        <w:t>dell’anno precedente ridotti dell’1%.</w:t>
      </w:r>
      <w:r>
        <w:rPr>
          <w:rFonts w:ascii="Arial" w:hAnsi="Arial" w:cs="Arial"/>
          <w:sz w:val="22"/>
          <w:szCs w:val="22"/>
        </w:rPr>
        <w:t xml:space="preserve"> La sanzione si applica con riferimento agli impegni riguardanti le funzioni esercitate in entrambi gli esercizi. A tal fine, l’importo degli impegni correnti dell’anno precedente a quello dell’anno in cui si applica la sanzione sono determinati al netto di quelli connessi a funzioni non esercitate in entrambi gli esercizi, nonché al</w:t>
      </w:r>
      <w:r w:rsidR="00B7794D">
        <w:rPr>
          <w:rFonts w:ascii="Arial" w:hAnsi="Arial" w:cs="Arial"/>
          <w:sz w:val="22"/>
          <w:szCs w:val="22"/>
        </w:rPr>
        <w:t xml:space="preserve"> netto degli impegni relativi al</w:t>
      </w:r>
      <w:r>
        <w:rPr>
          <w:rFonts w:ascii="Arial" w:hAnsi="Arial" w:cs="Arial"/>
          <w:sz w:val="22"/>
          <w:szCs w:val="22"/>
        </w:rPr>
        <w:t xml:space="preserve"> versamento al bilancio dello Stato effettuati come contributo alla finanza pubblica;</w:t>
      </w:r>
    </w:p>
    <w:p w:rsidR="001811EC" w:rsidRDefault="002121F5">
      <w:pPr>
        <w:ind w:firstLine="708"/>
        <w:jc w:val="both"/>
        <w:rPr>
          <w:rFonts w:ascii="Arial" w:hAnsi="Arial" w:cs="Arial"/>
          <w:sz w:val="22"/>
          <w:szCs w:val="22"/>
        </w:rPr>
      </w:pPr>
      <w:r>
        <w:rPr>
          <w:rFonts w:ascii="Arial" w:hAnsi="Arial" w:cs="Arial"/>
          <w:sz w:val="22"/>
          <w:szCs w:val="22"/>
        </w:rPr>
        <w:t xml:space="preserve">d) nell’anno successivo a quello di inadempienza </w:t>
      </w:r>
      <w:r w:rsidRPr="00B7794D">
        <w:rPr>
          <w:rFonts w:ascii="Arial" w:hAnsi="Arial" w:cs="Arial"/>
          <w:sz w:val="22"/>
          <w:szCs w:val="22"/>
          <w:highlight w:val="yellow"/>
        </w:rPr>
        <w:t>l'ente non può ricorrer</w:t>
      </w:r>
      <w:r w:rsidR="00B7794D" w:rsidRPr="00B7794D">
        <w:rPr>
          <w:rFonts w:ascii="Arial" w:hAnsi="Arial" w:cs="Arial"/>
          <w:sz w:val="22"/>
          <w:szCs w:val="22"/>
          <w:highlight w:val="yellow"/>
        </w:rPr>
        <w:t xml:space="preserve">e all'indebitamento per gli </w:t>
      </w:r>
      <w:r w:rsidRPr="00B7794D">
        <w:rPr>
          <w:rFonts w:ascii="Arial" w:hAnsi="Arial" w:cs="Arial"/>
          <w:sz w:val="22"/>
          <w:szCs w:val="22"/>
          <w:highlight w:val="yellow"/>
        </w:rPr>
        <w:t>investimenti.</w:t>
      </w:r>
      <w:r>
        <w:rPr>
          <w:rFonts w:ascii="Arial" w:hAnsi="Arial" w:cs="Arial"/>
          <w:sz w:val="22"/>
          <w:szCs w:val="22"/>
        </w:rPr>
        <w:t xml:space="preserve"> Per le regioni e le province autonome di Trento e Bolzano, restano esclusi i mutui già autorizzati e non ancora contratti.  I mutui e i prestiti obbligazionari posti in essere con istituzioni creditizie o finanziarie per il finanziamento degli investimenti o le aperture di linee di credito devono essere corred</w:t>
      </w:r>
      <w:r w:rsidR="00B7794D">
        <w:rPr>
          <w:rFonts w:ascii="Arial" w:hAnsi="Arial" w:cs="Arial"/>
          <w:sz w:val="22"/>
          <w:szCs w:val="22"/>
        </w:rPr>
        <w:t>ati da apposita attestazione da cui</w:t>
      </w:r>
      <w:r>
        <w:rPr>
          <w:rFonts w:ascii="Arial" w:hAnsi="Arial" w:cs="Arial"/>
          <w:sz w:val="22"/>
          <w:szCs w:val="22"/>
        </w:rPr>
        <w:t xml:space="preserve"> risulti il rispetto del saldo. L'istituto </w:t>
      </w:r>
      <w:r w:rsidR="00B7794D">
        <w:rPr>
          <w:rFonts w:ascii="Arial" w:hAnsi="Arial" w:cs="Arial"/>
          <w:sz w:val="22"/>
          <w:szCs w:val="22"/>
        </w:rPr>
        <w:t>finanziatore o l'intermediario finanziario non</w:t>
      </w:r>
      <w:r>
        <w:rPr>
          <w:rFonts w:ascii="Arial" w:hAnsi="Arial" w:cs="Arial"/>
          <w:sz w:val="22"/>
          <w:szCs w:val="22"/>
        </w:rPr>
        <w:t xml:space="preserve"> può procedere al finanziamento o al collocamento del prestito in  assenza  della predetta attestazione;</w:t>
      </w:r>
    </w:p>
    <w:p w:rsidR="001811EC" w:rsidRDefault="002121F5">
      <w:pPr>
        <w:ind w:firstLine="708"/>
        <w:jc w:val="both"/>
        <w:rPr>
          <w:rFonts w:ascii="Arial" w:hAnsi="Arial" w:cs="Arial"/>
          <w:sz w:val="22"/>
          <w:szCs w:val="22"/>
        </w:rPr>
      </w:pPr>
      <w:r>
        <w:rPr>
          <w:rFonts w:ascii="Arial" w:hAnsi="Arial" w:cs="Arial"/>
          <w:sz w:val="22"/>
          <w:szCs w:val="22"/>
        </w:rPr>
        <w:t xml:space="preserve">e) nell’anno successivo a quello di </w:t>
      </w:r>
      <w:r w:rsidRPr="00B7794D">
        <w:rPr>
          <w:rFonts w:ascii="Arial" w:hAnsi="Arial" w:cs="Arial"/>
          <w:sz w:val="22"/>
          <w:szCs w:val="22"/>
          <w:highlight w:val="yellow"/>
        </w:rPr>
        <w:t>inadem</w:t>
      </w:r>
      <w:r w:rsidR="00B7794D" w:rsidRPr="00B7794D">
        <w:rPr>
          <w:rFonts w:ascii="Arial" w:hAnsi="Arial" w:cs="Arial"/>
          <w:sz w:val="22"/>
          <w:szCs w:val="22"/>
          <w:highlight w:val="yellow"/>
        </w:rPr>
        <w:t>pienza l'ente non può procedere ad assunzioni di</w:t>
      </w:r>
      <w:r w:rsidRPr="00B7794D">
        <w:rPr>
          <w:rFonts w:ascii="Arial" w:hAnsi="Arial" w:cs="Arial"/>
          <w:sz w:val="22"/>
          <w:szCs w:val="22"/>
          <w:highlight w:val="yellow"/>
        </w:rPr>
        <w:t xml:space="preserve"> personale  a  qualsiasi titolo, con qualsivoglia tipologia contrattuale,  compresi i rapporti  di </w:t>
      </w:r>
      <w:r w:rsidRPr="00B7794D">
        <w:rPr>
          <w:rFonts w:ascii="Arial" w:hAnsi="Arial" w:cs="Arial"/>
          <w:sz w:val="22"/>
          <w:szCs w:val="22"/>
          <w:highlight w:val="yellow"/>
        </w:rPr>
        <w:lastRenderedPageBreak/>
        <w:t>collaborazione coordinata e continuativa e di somministrazione,  anche  con riferimento ai processi di stabilizzazione in atto.</w:t>
      </w:r>
      <w:r>
        <w:rPr>
          <w:rFonts w:ascii="Arial" w:hAnsi="Arial" w:cs="Arial"/>
          <w:sz w:val="22"/>
          <w:szCs w:val="22"/>
        </w:rPr>
        <w:t xml:space="preserve"> </w:t>
      </w:r>
      <w:r w:rsidRPr="00A04167">
        <w:rPr>
          <w:rFonts w:ascii="Arial" w:hAnsi="Arial" w:cs="Arial"/>
          <w:sz w:val="22"/>
          <w:szCs w:val="22"/>
          <w:highlight w:val="yellow"/>
        </w:rPr>
        <w:t>E' fatto altresì divieto agli enti di stipulare contratti di servizio con  soggetti  privati  che  si configurino come elusivi della presente disposizione</w:t>
      </w:r>
      <w:r>
        <w:rPr>
          <w:rFonts w:ascii="Arial" w:hAnsi="Arial" w:cs="Arial"/>
          <w:sz w:val="22"/>
          <w:szCs w:val="22"/>
        </w:rPr>
        <w:t>. Le regioni, le città metropolitane e i comuni possono comunque procedere ad assunzioni di personale a tempo determinato, con contratti di durata massima fino al 31 dicembre del medesimo esercizio, necessari a garantire l’esercizio delle funzioni di protezione civile, di polizia locale, di istruzione pubblica e del settore sociale nel rispetto dei limiti di spesa di cui al primo periodo del comma 28 dell’</w:t>
      </w:r>
      <w:hyperlink r:id="rId114" w:history="1">
        <w:r>
          <w:rPr>
            <w:rStyle w:val="Collegamentoipertestuale"/>
            <w:rFonts w:ascii="Arial" w:hAnsi="Arial" w:cs="Arial"/>
            <w:sz w:val="22"/>
            <w:szCs w:val="22"/>
          </w:rPr>
          <w:t>art.9 del D.L. 31/5/2010 n.78</w:t>
        </w:r>
      </w:hyperlink>
      <w:r>
        <w:rPr>
          <w:rFonts w:ascii="Arial" w:hAnsi="Arial" w:cs="Arial"/>
          <w:sz w:val="22"/>
          <w:szCs w:val="22"/>
        </w:rPr>
        <w:t>;</w:t>
      </w:r>
    </w:p>
    <w:p w:rsidR="001811EC" w:rsidRDefault="002121F5" w:rsidP="00A04167">
      <w:pPr>
        <w:jc w:val="both"/>
        <w:rPr>
          <w:rFonts w:ascii="Arial" w:hAnsi="Arial" w:cs="Arial"/>
          <w:sz w:val="22"/>
          <w:szCs w:val="22"/>
        </w:rPr>
      </w:pPr>
      <w:r w:rsidRPr="00A04167">
        <w:rPr>
          <w:rFonts w:ascii="Arial" w:hAnsi="Arial" w:cs="Arial"/>
          <w:sz w:val="22"/>
          <w:szCs w:val="22"/>
          <w:highlight w:val="yellow"/>
        </w:rPr>
        <w:t>f) nell’anno successivo a quello di inad</w:t>
      </w:r>
      <w:r w:rsidR="00A04167" w:rsidRPr="00A04167">
        <w:rPr>
          <w:rFonts w:ascii="Arial" w:hAnsi="Arial" w:cs="Arial"/>
          <w:sz w:val="22"/>
          <w:szCs w:val="22"/>
          <w:highlight w:val="yellow"/>
        </w:rPr>
        <w:t>empienza il presidente, il sindaco e i componenti della giunta</w:t>
      </w:r>
      <w:r w:rsidRPr="00A04167">
        <w:rPr>
          <w:rFonts w:ascii="Arial" w:hAnsi="Arial" w:cs="Arial"/>
          <w:sz w:val="22"/>
          <w:szCs w:val="22"/>
          <w:highlight w:val="yellow"/>
        </w:rPr>
        <w:t xml:space="preserve"> in carica nell'esercizio in cui è avvenuta la violazione, sono tenuti a versare al bilancio dell’ente il 30% delle indennità di funzione e dei gettoni di presenza spettanti nell’esercizio della violazione.</w:t>
      </w:r>
    </w:p>
    <w:p w:rsidR="00A04167" w:rsidRDefault="00A04167">
      <w:pPr>
        <w:ind w:firstLine="708"/>
        <w:jc w:val="both"/>
        <w:rPr>
          <w:rFonts w:ascii="Arial" w:hAnsi="Arial" w:cs="Arial"/>
          <w:sz w:val="22"/>
          <w:szCs w:val="22"/>
        </w:rPr>
      </w:pPr>
    </w:p>
    <w:p w:rsidR="001811EC" w:rsidRDefault="002121F5">
      <w:pPr>
        <w:spacing w:before="120" w:after="60"/>
        <w:jc w:val="both"/>
        <w:rPr>
          <w:rFonts w:ascii="Arial" w:hAnsi="Arial" w:cs="Arial"/>
          <w:sz w:val="22"/>
          <w:szCs w:val="22"/>
        </w:rPr>
      </w:pPr>
      <w:r>
        <w:rPr>
          <w:rFonts w:ascii="Arial" w:hAnsi="Arial" w:cs="Arial"/>
          <w:sz w:val="22"/>
          <w:szCs w:val="22"/>
        </w:rPr>
        <w:t>Dalla verifica della coerenza delle previsioni con l’obiettivo di saldo risulta un saldo non negativo così determinato:</w:t>
      </w:r>
    </w:p>
    <w:p w:rsidR="001811EC" w:rsidRDefault="001811EC">
      <w:pPr>
        <w:spacing w:before="120" w:after="60"/>
        <w:jc w:val="both"/>
        <w:rPr>
          <w:rFonts w:ascii="Arial" w:hAnsi="Arial" w:cs="Arial"/>
          <w:sz w:val="22"/>
          <w:szCs w:val="22"/>
        </w:rPr>
      </w:pPr>
    </w:p>
    <w:p w:rsidR="001811EC" w:rsidRDefault="001811EC">
      <w:pPr>
        <w:spacing w:before="120" w:after="60"/>
        <w:jc w:val="both"/>
        <w:rPr>
          <w:rFonts w:ascii="Arial" w:hAnsi="Arial" w:cs="Arial"/>
          <w:sz w:val="22"/>
          <w:szCs w:val="22"/>
        </w:rPr>
      </w:pPr>
    </w:p>
    <w:p w:rsidR="001811EC" w:rsidRDefault="001811EC">
      <w:pPr>
        <w:spacing w:before="120" w:after="60"/>
        <w:jc w:val="both"/>
        <w:rPr>
          <w:rFonts w:ascii="Arial" w:hAnsi="Arial" w:cs="Arial"/>
          <w:sz w:val="22"/>
          <w:szCs w:val="22"/>
        </w:rPr>
      </w:pPr>
    </w:p>
    <w:p w:rsidR="001811EC" w:rsidRDefault="001811EC">
      <w:pPr>
        <w:spacing w:before="120" w:after="60"/>
        <w:jc w:val="both"/>
        <w:rPr>
          <w:rFonts w:ascii="Arial" w:hAnsi="Arial" w:cs="Arial"/>
          <w:sz w:val="22"/>
          <w:szCs w:val="22"/>
        </w:rPr>
      </w:pPr>
    </w:p>
    <w:p w:rsidR="001811EC" w:rsidRDefault="001811EC">
      <w:pPr>
        <w:spacing w:before="120" w:after="60"/>
        <w:jc w:val="both"/>
        <w:rPr>
          <w:rFonts w:ascii="Arial" w:hAnsi="Arial" w:cs="Arial"/>
          <w:sz w:val="22"/>
          <w:szCs w:val="22"/>
        </w:rPr>
      </w:pPr>
    </w:p>
    <w:p w:rsidR="001811EC" w:rsidRDefault="001811EC">
      <w:pPr>
        <w:spacing w:before="120" w:after="60"/>
        <w:jc w:val="both"/>
        <w:rPr>
          <w:rFonts w:ascii="Arial" w:hAnsi="Arial" w:cs="Arial"/>
          <w:sz w:val="22"/>
          <w:szCs w:val="22"/>
        </w:rPr>
      </w:pPr>
    </w:p>
    <w:bookmarkStart w:id="45" w:name="_MON_1542697907"/>
    <w:bookmarkEnd w:id="45"/>
    <w:p w:rsidR="001811EC" w:rsidRDefault="002121F5">
      <w:pPr>
        <w:spacing w:before="120" w:after="60"/>
        <w:jc w:val="both"/>
        <w:rPr>
          <w:rFonts w:ascii="Arial" w:hAnsi="Arial" w:cs="Arial"/>
          <w:sz w:val="22"/>
          <w:szCs w:val="22"/>
        </w:rPr>
      </w:pPr>
      <w:r w:rsidRPr="00FF759A">
        <w:rPr>
          <w:rFonts w:ascii="Arial" w:hAnsi="Arial" w:cs="Arial"/>
          <w:sz w:val="22"/>
          <w:szCs w:val="22"/>
        </w:rPr>
        <w:object w:dxaOrig="10087" w:dyaOrig="14145">
          <v:shape id="_x0000_i1033" type="#_x0000_t75" style="width:7in;height:700.35pt" o:ole="">
            <v:imagedata r:id="rId115" o:title=""/>
          </v:shape>
          <o:OLEObject Type="Embed" ProgID="Excel.Sheet.12" ShapeID="_x0000_i1033" DrawAspect="Content" ObjectID="_1547620561" r:id="rId116"/>
        </w:object>
      </w:r>
      <w:bookmarkStart w:id="46" w:name="_MON_1513243481"/>
      <w:bookmarkStart w:id="47" w:name="_Toc346838830"/>
      <w:bookmarkEnd w:id="46"/>
    </w:p>
    <w:p w:rsidR="001811EC" w:rsidRDefault="002121F5">
      <w:pPr>
        <w:pStyle w:val="Titolo1"/>
        <w:shd w:val="clear" w:color="auto" w:fill="B6DDE8" w:themeFill="accent5" w:themeFillTint="66"/>
      </w:pPr>
      <w:bookmarkStart w:id="48" w:name="_Toc469216207"/>
      <w:r>
        <w:t xml:space="preserve">VERIFICA ATTENDIBILITA’ E CONGRUITA’ DELLE PREVISIONI ANNO </w:t>
      </w:r>
      <w:bookmarkEnd w:id="47"/>
      <w:r>
        <w:t>2017-2019</w:t>
      </w:r>
      <w:bookmarkEnd w:id="48"/>
    </w:p>
    <w:p w:rsidR="001811EC" w:rsidRDefault="002121F5">
      <w:pPr>
        <w:pStyle w:val="Titolo2"/>
      </w:pPr>
      <w:bookmarkStart w:id="49" w:name="_Toc469216208"/>
      <w:r>
        <w:t>A) ENTRATE</w:t>
      </w:r>
      <w:bookmarkEnd w:id="49"/>
      <w:r>
        <w:t xml:space="preserve"> </w:t>
      </w:r>
    </w:p>
    <w:p w:rsidR="001811EC" w:rsidRDefault="001811EC">
      <w:pPr>
        <w:pStyle w:val="Corpodeltesto2"/>
        <w:numPr>
          <w:ilvl w:val="12"/>
          <w:numId w:val="0"/>
        </w:numPr>
        <w:tabs>
          <w:tab w:val="clear" w:pos="426"/>
          <w:tab w:val="left" w:pos="708"/>
        </w:tabs>
        <w:jc w:val="both"/>
        <w:rPr>
          <w:sz w:val="20"/>
        </w:rPr>
      </w:pPr>
    </w:p>
    <w:p w:rsidR="001811EC" w:rsidRDefault="001811EC">
      <w:pPr>
        <w:pStyle w:val="Corpodeltesto2"/>
        <w:numPr>
          <w:ilvl w:val="12"/>
          <w:numId w:val="0"/>
        </w:numPr>
        <w:tabs>
          <w:tab w:val="clear" w:pos="426"/>
          <w:tab w:val="left" w:pos="708"/>
        </w:tabs>
        <w:jc w:val="both"/>
        <w:rPr>
          <w:sz w:val="20"/>
        </w:rPr>
      </w:pPr>
    </w:p>
    <w:p w:rsidR="001811EC" w:rsidRDefault="002121F5">
      <w:pPr>
        <w:pStyle w:val="Corpodeltesto2"/>
        <w:numPr>
          <w:ilvl w:val="12"/>
          <w:numId w:val="0"/>
        </w:numPr>
        <w:tabs>
          <w:tab w:val="clear" w:pos="426"/>
          <w:tab w:val="left" w:pos="708"/>
        </w:tabs>
        <w:jc w:val="both"/>
        <w:rPr>
          <w:szCs w:val="22"/>
        </w:rPr>
      </w:pPr>
      <w:r>
        <w:rPr>
          <w:szCs w:val="22"/>
        </w:rPr>
        <w:t>Ai fini della verifica dell’attendibilità delle entrate e congruità delle spese previste per gli esercizi 2017-2019, alla luce della manovra disposta dall’ente, sono state analizzate in particolare le voci di bilancio appresso riportate.</w:t>
      </w:r>
    </w:p>
    <w:p w:rsidR="001811EC" w:rsidRDefault="002121F5">
      <w:pPr>
        <w:pStyle w:val="Corpodeltesto2"/>
        <w:numPr>
          <w:ilvl w:val="12"/>
          <w:numId w:val="0"/>
        </w:numPr>
        <w:tabs>
          <w:tab w:val="clear" w:pos="426"/>
          <w:tab w:val="left" w:pos="708"/>
        </w:tabs>
        <w:jc w:val="both"/>
        <w:rPr>
          <w:b/>
          <w:i/>
          <w:color w:val="365F91" w:themeColor="accent1" w:themeShade="BF"/>
          <w:szCs w:val="22"/>
        </w:rPr>
      </w:pPr>
      <w:r w:rsidRPr="00A04167">
        <w:rPr>
          <w:b/>
          <w:i/>
          <w:color w:val="365F91" w:themeColor="accent1" w:themeShade="BF"/>
          <w:szCs w:val="22"/>
          <w:highlight w:val="yellow"/>
        </w:rPr>
        <w:t xml:space="preserve">(La </w:t>
      </w:r>
      <w:hyperlink r:id="rId117" w:history="1">
        <w:r w:rsidRPr="00A04167">
          <w:rPr>
            <w:rStyle w:val="Collegamentoipertestuale"/>
            <w:rFonts w:cs="Arial"/>
            <w:b/>
            <w:i/>
            <w:szCs w:val="22"/>
            <w:highlight w:val="yellow"/>
          </w:rPr>
          <w:t>legge di bilancio 2017</w:t>
        </w:r>
      </w:hyperlink>
      <w:r w:rsidRPr="00A04167">
        <w:rPr>
          <w:b/>
          <w:i/>
          <w:color w:val="365F91" w:themeColor="accent1" w:themeShade="BF"/>
          <w:szCs w:val="22"/>
          <w:highlight w:val="yellow"/>
        </w:rPr>
        <w:t xml:space="preserve"> ha disposto il blocco dei poteri degli enti locali di deliberare aumenti dei tributi e delle addizionali. Sono escluse la Tari e il canone occupazione spazi ed aree pubbliche. E’ confermata per l’anno 2017 la maggiorazione Tasi stabilita per l’anno 2016).</w:t>
      </w:r>
    </w:p>
    <w:p w:rsidR="001811EC" w:rsidRDefault="001811EC">
      <w:pPr>
        <w:numPr>
          <w:ilvl w:val="12"/>
          <w:numId w:val="0"/>
        </w:numPr>
        <w:rPr>
          <w:rFonts w:ascii="Arial" w:hAnsi="Arial" w:cs="Arial"/>
          <w:i/>
          <w:sz w:val="20"/>
        </w:rPr>
      </w:pPr>
      <w:bookmarkStart w:id="50" w:name="_ENTRATE_CORRENTI"/>
      <w:bookmarkEnd w:id="50"/>
    </w:p>
    <w:p w:rsidR="001811EC" w:rsidRDefault="002121F5">
      <w:pPr>
        <w:rPr>
          <w:rFonts w:ascii="Arial" w:hAnsi="Arial" w:cs="Arial"/>
          <w:b/>
          <w:u w:val="single"/>
        </w:rPr>
      </w:pPr>
      <w:r>
        <w:rPr>
          <w:rFonts w:ascii="Arial" w:hAnsi="Arial" w:cs="Arial"/>
          <w:b/>
          <w:u w:val="single"/>
        </w:rPr>
        <w:t xml:space="preserve">TARI </w:t>
      </w:r>
    </w:p>
    <w:p w:rsidR="001811EC" w:rsidRDefault="002121F5">
      <w:pPr>
        <w:jc w:val="both"/>
        <w:rPr>
          <w:rFonts w:ascii="Arial" w:hAnsi="Arial" w:cs="Arial"/>
          <w:sz w:val="22"/>
          <w:szCs w:val="22"/>
        </w:rPr>
      </w:pPr>
      <w:r>
        <w:rPr>
          <w:rFonts w:ascii="Arial" w:hAnsi="Arial" w:cs="Arial"/>
          <w:sz w:val="22"/>
          <w:szCs w:val="22"/>
        </w:rPr>
        <w:t>L’ente ha previsto nel bilancio 2017, la somma di euro ……………………., con un aumento/diminuzione di euro …………… rispetto alle previsioni definitive 2016 (o rendiconto 2015), per la tassa sui rifiuti istituita con i commi da 641 a 668 dell’</w:t>
      </w:r>
      <w:hyperlink r:id="rId118" w:history="1">
        <w:r>
          <w:rPr>
            <w:rStyle w:val="Collegamentoipertestuale"/>
            <w:rFonts w:ascii="Arial" w:hAnsi="Arial" w:cs="Arial"/>
            <w:sz w:val="22"/>
            <w:szCs w:val="22"/>
          </w:rPr>
          <w:t>art.1 della Legge 147/2013</w:t>
        </w:r>
      </w:hyperlink>
      <w:r>
        <w:rPr>
          <w:rFonts w:ascii="Arial" w:hAnsi="Arial" w:cs="Arial"/>
          <w:sz w:val="22"/>
          <w:szCs w:val="22"/>
        </w:rPr>
        <w:t>.</w:t>
      </w:r>
    </w:p>
    <w:p w:rsidR="001811EC" w:rsidRDefault="002121F5">
      <w:pPr>
        <w:jc w:val="both"/>
        <w:rPr>
          <w:rFonts w:ascii="Arial" w:hAnsi="Arial" w:cs="Arial"/>
          <w:sz w:val="22"/>
          <w:szCs w:val="22"/>
        </w:rPr>
      </w:pPr>
      <w:r>
        <w:rPr>
          <w:rFonts w:ascii="Arial" w:hAnsi="Arial" w:cs="Arial"/>
          <w:sz w:val="22"/>
          <w:szCs w:val="22"/>
        </w:rPr>
        <w:t xml:space="preserve">La tariffa è determinata sulla base della copertura integrale dei costi di investimento e di esercizio del servizio rifiuti compresi quelli relativi alla realizzazione ed esercizio della discarica ad esclusione dei costi relativi ai rifiuti speciali al cui smaltimento provvedono a proprie spese i relativi produttori comprovandone il trattamento. </w:t>
      </w:r>
    </w:p>
    <w:p w:rsidR="001811EC" w:rsidRDefault="002121F5">
      <w:pPr>
        <w:jc w:val="both"/>
        <w:rPr>
          <w:rFonts w:ascii="Arial" w:hAnsi="Arial" w:cs="Arial"/>
          <w:sz w:val="22"/>
          <w:szCs w:val="22"/>
        </w:rPr>
      </w:pPr>
      <w:r>
        <w:rPr>
          <w:rFonts w:ascii="Arial" w:hAnsi="Arial" w:cs="Arial"/>
          <w:sz w:val="22"/>
          <w:szCs w:val="22"/>
        </w:rPr>
        <w:t>La modalità di commisurazione della tariffa è stata fatta sulla base del criterio medio- ordinario (ovvero in base alla quantità e qualità medie ordinarie di rifiuti prodotti per unità di superficie in relazione agli usi e alla tipologia di attività svolte) e non sull’effettiva quantità di rifiuti prodotti.</w:t>
      </w:r>
    </w:p>
    <w:p w:rsidR="001811EC" w:rsidRDefault="002121F5">
      <w:pPr>
        <w:tabs>
          <w:tab w:val="left" w:pos="708"/>
        </w:tabs>
        <w:jc w:val="both"/>
        <w:rPr>
          <w:rFonts w:ascii="Arial" w:hAnsi="Arial" w:cs="Arial"/>
          <w:bCs/>
          <w:sz w:val="22"/>
          <w:szCs w:val="22"/>
        </w:rPr>
      </w:pPr>
      <w:r>
        <w:rPr>
          <w:rFonts w:ascii="Arial" w:hAnsi="Arial" w:cs="Arial"/>
          <w:bCs/>
          <w:sz w:val="22"/>
          <w:szCs w:val="22"/>
        </w:rPr>
        <w:t xml:space="preserve">La disciplina dell´applicazione del tributo sarà approvata con regolamento dal Consiglio comunale.  </w:t>
      </w:r>
    </w:p>
    <w:p w:rsidR="001811EC" w:rsidRDefault="002121F5">
      <w:pPr>
        <w:jc w:val="both"/>
        <w:rPr>
          <w:rFonts w:ascii="Arial" w:hAnsi="Arial" w:cs="Arial"/>
          <w:sz w:val="22"/>
          <w:szCs w:val="22"/>
        </w:rPr>
      </w:pPr>
      <w:r>
        <w:rPr>
          <w:rFonts w:ascii="Arial" w:hAnsi="Arial" w:cs="Arial"/>
          <w:sz w:val="22"/>
          <w:szCs w:val="22"/>
        </w:rPr>
        <w:t xml:space="preserve">La quota di gettito atteso che rimarrà a carico dell’ente per effetto delle riduzioni/esenzioni del tributo per effetto del baratto amministrativo ammonta ad euro ……….. </w:t>
      </w:r>
    </w:p>
    <w:p w:rsidR="001811EC" w:rsidRDefault="001811EC">
      <w:pPr>
        <w:pStyle w:val="Titolo3"/>
      </w:pPr>
    </w:p>
    <w:p w:rsidR="001811EC" w:rsidRDefault="002121F5">
      <w:pPr>
        <w:rPr>
          <w:rFonts w:ascii="Arial" w:hAnsi="Arial" w:cs="Arial"/>
          <w:b/>
          <w:u w:val="single"/>
        </w:rPr>
      </w:pPr>
      <w:r>
        <w:rPr>
          <w:rFonts w:ascii="Arial" w:hAnsi="Arial" w:cs="Arial"/>
          <w:b/>
          <w:u w:val="single"/>
        </w:rPr>
        <w:t>Risorse relative al recupero dell’evasione tributaria</w:t>
      </w:r>
    </w:p>
    <w:p w:rsidR="001811EC" w:rsidRDefault="001811EC">
      <w:pPr>
        <w:rPr>
          <w:rFonts w:ascii="Arial" w:hAnsi="Arial" w:cs="Arial"/>
          <w:b/>
          <w:sz w:val="20"/>
          <w:u w:val="single"/>
        </w:rPr>
      </w:pPr>
    </w:p>
    <w:p w:rsidR="001811EC" w:rsidRDefault="002121F5">
      <w:pPr>
        <w:rPr>
          <w:rFonts w:ascii="Arial" w:hAnsi="Arial" w:cs="Arial"/>
          <w:sz w:val="22"/>
          <w:szCs w:val="22"/>
        </w:rPr>
      </w:pPr>
      <w:r>
        <w:rPr>
          <w:rFonts w:ascii="Arial" w:hAnsi="Arial" w:cs="Arial"/>
          <w:sz w:val="22"/>
          <w:szCs w:val="22"/>
        </w:rPr>
        <w:t>Le entrate relative all’attività di controllo delle dichiarazioni subiscono le seguenti variazioni:</w:t>
      </w:r>
    </w:p>
    <w:p w:rsidR="001811EC" w:rsidRDefault="001811EC">
      <w:pPr>
        <w:rPr>
          <w:rFonts w:ascii="Arial" w:hAnsi="Arial" w:cs="Arial"/>
          <w:sz w:val="22"/>
          <w:szCs w:val="22"/>
        </w:rPr>
      </w:pPr>
    </w:p>
    <w:bookmarkStart w:id="51" w:name="_MON_1542695015"/>
    <w:bookmarkEnd w:id="51"/>
    <w:p w:rsidR="001811EC" w:rsidRDefault="002121F5">
      <w:pPr>
        <w:rPr>
          <w:rFonts w:ascii="Arial" w:hAnsi="Arial" w:cs="Arial"/>
          <w:sz w:val="22"/>
          <w:szCs w:val="22"/>
        </w:rPr>
      </w:pPr>
      <w:r w:rsidRPr="00FF759A">
        <w:rPr>
          <w:rFonts w:ascii="Arial" w:hAnsi="Arial" w:cs="Arial"/>
          <w:sz w:val="22"/>
          <w:szCs w:val="22"/>
        </w:rPr>
        <w:object w:dxaOrig="9669" w:dyaOrig="3510">
          <v:shape id="_x0000_i1034" type="#_x0000_t75" style="width:484.35pt;height:175.8pt" o:ole="">
            <v:imagedata r:id="rId119" o:title=""/>
          </v:shape>
          <o:OLEObject Type="Embed" ProgID="Excel.Sheet.12" ShapeID="_x0000_i1034" DrawAspect="Content" ObjectID="_1547620562" r:id="rId120"/>
        </w:object>
      </w:r>
    </w:p>
    <w:p w:rsidR="001811EC" w:rsidRDefault="002121F5">
      <w:pPr>
        <w:rPr>
          <w:rFonts w:ascii="Arial" w:hAnsi="Arial" w:cs="Arial"/>
          <w:i/>
          <w:sz w:val="22"/>
          <w:szCs w:val="22"/>
        </w:rPr>
      </w:pPr>
      <w:r>
        <w:rPr>
          <w:rFonts w:ascii="Arial" w:hAnsi="Arial" w:cs="Arial"/>
          <w:i/>
          <w:sz w:val="22"/>
          <w:szCs w:val="22"/>
        </w:rPr>
        <w:t>*accertato 2016 e residuo 2016 se approvato il rendiconto 2016</w:t>
      </w:r>
    </w:p>
    <w:p w:rsidR="001811EC" w:rsidRDefault="001811EC">
      <w:pPr>
        <w:rPr>
          <w:rFonts w:ascii="Arial" w:hAnsi="Arial" w:cs="Arial"/>
          <w:b/>
          <w:u w:val="single"/>
        </w:rPr>
      </w:pPr>
      <w:bookmarkStart w:id="52" w:name="_MON_1513857152"/>
      <w:bookmarkEnd w:id="52"/>
    </w:p>
    <w:p w:rsidR="001811EC" w:rsidRDefault="002121F5">
      <w:pPr>
        <w:rPr>
          <w:rFonts w:ascii="Arial" w:hAnsi="Arial" w:cs="Arial"/>
          <w:b/>
          <w:u w:val="single"/>
        </w:rPr>
      </w:pPr>
      <w:r>
        <w:rPr>
          <w:rFonts w:ascii="Arial" w:hAnsi="Arial" w:cs="Arial"/>
          <w:sz w:val="22"/>
          <w:szCs w:val="22"/>
        </w:rPr>
        <w:t>La quantificazione del fondo crediti di dubbia esigibilità per gli anni 2017/2019 appare congrua in relazione all’andamento storico delle riscossioni rispetto agli accertamenti.</w:t>
      </w:r>
    </w:p>
    <w:p w:rsidR="001811EC" w:rsidRDefault="001811EC">
      <w:pPr>
        <w:rPr>
          <w:rFonts w:ascii="Arial" w:hAnsi="Arial" w:cs="Arial"/>
          <w:b/>
          <w:u w:val="single"/>
        </w:rPr>
      </w:pPr>
    </w:p>
    <w:p w:rsidR="001811EC" w:rsidRDefault="001811EC">
      <w:pPr>
        <w:numPr>
          <w:ilvl w:val="12"/>
          <w:numId w:val="0"/>
        </w:numPr>
        <w:rPr>
          <w:rFonts w:ascii="Arial" w:hAnsi="Arial" w:cs="Arial"/>
          <w:sz w:val="20"/>
        </w:rPr>
      </w:pPr>
    </w:p>
    <w:p w:rsidR="00A04167" w:rsidRDefault="00A04167">
      <w:pPr>
        <w:numPr>
          <w:ilvl w:val="12"/>
          <w:numId w:val="0"/>
        </w:numPr>
        <w:rPr>
          <w:rFonts w:ascii="Arial" w:hAnsi="Arial" w:cs="Arial"/>
          <w:sz w:val="20"/>
        </w:rPr>
      </w:pPr>
    </w:p>
    <w:p w:rsidR="00A04167" w:rsidRDefault="00A04167">
      <w:pPr>
        <w:numPr>
          <w:ilvl w:val="12"/>
          <w:numId w:val="0"/>
        </w:numPr>
        <w:rPr>
          <w:rFonts w:ascii="Arial" w:hAnsi="Arial" w:cs="Arial"/>
          <w:sz w:val="20"/>
        </w:rPr>
      </w:pPr>
    </w:p>
    <w:p w:rsidR="001811EC" w:rsidRDefault="002121F5">
      <w:pPr>
        <w:rPr>
          <w:rFonts w:ascii="Arial" w:hAnsi="Arial" w:cs="Arial"/>
          <w:b/>
          <w:u w:val="single"/>
        </w:rPr>
      </w:pPr>
      <w:r>
        <w:rPr>
          <w:rFonts w:ascii="Arial" w:hAnsi="Arial" w:cs="Arial"/>
          <w:b/>
          <w:u w:val="single"/>
        </w:rPr>
        <w:t>Proventi dei servizi pubblici</w:t>
      </w:r>
    </w:p>
    <w:p w:rsidR="001811EC" w:rsidRDefault="001811EC">
      <w:pPr>
        <w:rPr>
          <w:rFonts w:ascii="Arial" w:hAnsi="Arial" w:cs="Arial"/>
          <w:b/>
          <w:u w:val="single"/>
        </w:rPr>
      </w:pPr>
    </w:p>
    <w:p w:rsidR="001811EC" w:rsidRDefault="002121F5">
      <w:pPr>
        <w:pStyle w:val="Corpodeltesto21"/>
        <w:numPr>
          <w:ilvl w:val="12"/>
          <w:numId w:val="0"/>
        </w:numPr>
        <w:rPr>
          <w:rFonts w:cs="Arial"/>
          <w:b w:val="0"/>
          <w:i w:val="0"/>
          <w:sz w:val="22"/>
          <w:szCs w:val="22"/>
        </w:rPr>
      </w:pPr>
      <w:r>
        <w:rPr>
          <w:rFonts w:cs="Arial"/>
          <w:b w:val="0"/>
          <w:i w:val="0"/>
          <w:sz w:val="22"/>
          <w:szCs w:val="22"/>
        </w:rPr>
        <w:t>Il dettaglio delle previsioni di proventi e costi dei servizi dell’ente dei servizi a domanda individuale è il seguente:</w:t>
      </w:r>
    </w:p>
    <w:bookmarkStart w:id="53" w:name="_MON_1542706425"/>
    <w:bookmarkEnd w:id="53"/>
    <w:p w:rsidR="001811EC" w:rsidRDefault="002121F5">
      <w:pPr>
        <w:pStyle w:val="Corpodeltesto21"/>
        <w:numPr>
          <w:ilvl w:val="12"/>
          <w:numId w:val="0"/>
        </w:numPr>
        <w:jc w:val="center"/>
        <w:rPr>
          <w:rFonts w:cs="Arial"/>
          <w:b w:val="0"/>
          <w:i w:val="0"/>
          <w:sz w:val="22"/>
          <w:szCs w:val="22"/>
        </w:rPr>
      </w:pPr>
      <w:r w:rsidRPr="00FF759A">
        <w:rPr>
          <w:rFonts w:cs="Arial"/>
          <w:b w:val="0"/>
          <w:i w:val="0"/>
          <w:sz w:val="22"/>
          <w:szCs w:val="22"/>
        </w:rPr>
        <w:object w:dxaOrig="6880" w:dyaOrig="4340">
          <v:shape id="_x0000_i1035" type="#_x0000_t75" style="width:343.65pt;height:217.4pt" o:ole="">
            <v:imagedata r:id="rId121" o:title=""/>
          </v:shape>
          <o:OLEObject Type="Embed" ProgID="Excel.Sheet.12" ShapeID="_x0000_i1035" DrawAspect="Content" ObjectID="_1547620563" r:id="rId122"/>
        </w:object>
      </w:r>
    </w:p>
    <w:p w:rsidR="001811EC" w:rsidRDefault="001811EC">
      <w:pPr>
        <w:numPr>
          <w:ilvl w:val="12"/>
          <w:numId w:val="0"/>
        </w:numPr>
        <w:jc w:val="both"/>
        <w:rPr>
          <w:rFonts w:ascii="Arial" w:hAnsi="Arial" w:cs="Arial"/>
          <w:sz w:val="20"/>
        </w:rPr>
      </w:pPr>
    </w:p>
    <w:p w:rsidR="001811EC" w:rsidRPr="00A04167" w:rsidRDefault="002121F5">
      <w:pPr>
        <w:jc w:val="both"/>
        <w:rPr>
          <w:rFonts w:ascii="Arial" w:hAnsi="Arial" w:cs="Arial"/>
          <w:sz w:val="22"/>
          <w:szCs w:val="22"/>
          <w:highlight w:val="yellow"/>
        </w:rPr>
      </w:pPr>
      <w:r w:rsidRPr="00A04167">
        <w:rPr>
          <w:rFonts w:ascii="Arial" w:hAnsi="Arial" w:cs="Arial"/>
          <w:sz w:val="22"/>
          <w:szCs w:val="22"/>
          <w:highlight w:val="yellow"/>
        </w:rPr>
        <w:t>Il Fondo Crediti di Dubbia Esigibilità (FCDE) in corrispondenza delle previsioni di cui sopra è così quantificato:</w:t>
      </w:r>
    </w:p>
    <w:p w:rsidR="001811EC" w:rsidRPr="00A04167" w:rsidRDefault="001811EC">
      <w:pPr>
        <w:jc w:val="both"/>
        <w:rPr>
          <w:rFonts w:ascii="Arial" w:hAnsi="Arial" w:cs="Arial"/>
          <w:sz w:val="22"/>
          <w:szCs w:val="22"/>
          <w:highlight w:val="yellow"/>
        </w:rPr>
      </w:pPr>
    </w:p>
    <w:bookmarkStart w:id="54" w:name="_MON_1542706448"/>
    <w:bookmarkEnd w:id="54"/>
    <w:p w:rsidR="001811EC" w:rsidRDefault="002121F5">
      <w:pPr>
        <w:jc w:val="center"/>
        <w:rPr>
          <w:rFonts w:ascii="Arial" w:hAnsi="Arial" w:cs="Arial"/>
          <w:b/>
          <w:u w:val="single"/>
        </w:rPr>
      </w:pPr>
      <w:r w:rsidRPr="00A04167">
        <w:rPr>
          <w:rFonts w:ascii="Arial" w:hAnsi="Arial" w:cs="Arial"/>
          <w:b/>
          <w:highlight w:val="yellow"/>
          <w:u w:val="single"/>
        </w:rPr>
        <w:object w:dxaOrig="8944" w:dyaOrig="3764">
          <v:shape id="_x0000_i1036" type="#_x0000_t75" style="width:447.45pt;height:188.4pt" o:ole="">
            <v:imagedata r:id="rId123" o:title=""/>
          </v:shape>
          <o:OLEObject Type="Embed" ProgID="Excel.Sheet.12" ShapeID="_x0000_i1036" DrawAspect="Content" ObjectID="_1547620564" r:id="rId124"/>
        </w:object>
      </w:r>
    </w:p>
    <w:p w:rsidR="001811EC" w:rsidRDefault="001811EC">
      <w:pPr>
        <w:rPr>
          <w:rFonts w:ascii="Arial" w:hAnsi="Arial" w:cs="Arial"/>
          <w:b/>
          <w:u w:val="single"/>
        </w:rPr>
      </w:pPr>
    </w:p>
    <w:p w:rsidR="001811EC" w:rsidRPr="00A04167" w:rsidRDefault="002121F5">
      <w:pPr>
        <w:rPr>
          <w:rFonts w:ascii="Arial" w:hAnsi="Arial" w:cs="Arial"/>
          <w:b/>
          <w:highlight w:val="yellow"/>
          <w:u w:val="single"/>
        </w:rPr>
      </w:pPr>
      <w:r w:rsidRPr="00A04167">
        <w:rPr>
          <w:rFonts w:ascii="Arial" w:hAnsi="Arial" w:cs="Arial"/>
          <w:sz w:val="22"/>
          <w:szCs w:val="22"/>
          <w:highlight w:val="yellow"/>
        </w:rPr>
        <w:t>La quantificazione dello stesso appare congrua in relazione all’andamento storico delle riscossioni rispetto agli accertamenti,</w:t>
      </w:r>
    </w:p>
    <w:p w:rsidR="001811EC" w:rsidRPr="00A04167" w:rsidRDefault="001811EC">
      <w:pPr>
        <w:rPr>
          <w:rFonts w:ascii="Arial" w:hAnsi="Arial" w:cs="Arial"/>
          <w:b/>
          <w:highlight w:val="yellow"/>
          <w:u w:val="single"/>
        </w:rPr>
      </w:pPr>
    </w:p>
    <w:p w:rsidR="001811EC" w:rsidRPr="00A04167" w:rsidRDefault="002121F5">
      <w:pPr>
        <w:numPr>
          <w:ilvl w:val="12"/>
          <w:numId w:val="0"/>
        </w:numPr>
        <w:jc w:val="both"/>
        <w:rPr>
          <w:rFonts w:ascii="Arial" w:hAnsi="Arial" w:cs="Arial"/>
          <w:sz w:val="22"/>
          <w:szCs w:val="22"/>
          <w:highlight w:val="yellow"/>
        </w:rPr>
      </w:pPr>
      <w:r w:rsidRPr="00A04167">
        <w:rPr>
          <w:rFonts w:ascii="Arial" w:hAnsi="Arial" w:cs="Arial"/>
          <w:sz w:val="22"/>
          <w:szCs w:val="22"/>
          <w:highlight w:val="yellow"/>
        </w:rPr>
        <w:t>L’organo esecutivo con deliberazione n. ……. del ………., allegata al  bilancio, ha determinato la percentuale complessiva di copertura dei servizi a domanda individuale nella misura del …. %.</w:t>
      </w:r>
    </w:p>
    <w:p w:rsidR="001811EC" w:rsidRDefault="002121F5">
      <w:pPr>
        <w:jc w:val="both"/>
        <w:rPr>
          <w:rFonts w:ascii="Arial" w:hAnsi="Arial" w:cs="Arial"/>
          <w:sz w:val="22"/>
          <w:szCs w:val="22"/>
        </w:rPr>
      </w:pPr>
      <w:r w:rsidRPr="00A04167">
        <w:rPr>
          <w:rFonts w:ascii="Arial" w:hAnsi="Arial" w:cs="Arial"/>
          <w:sz w:val="22"/>
          <w:szCs w:val="22"/>
          <w:highlight w:val="yellow"/>
        </w:rPr>
        <w:t>Sulla base dei dati di cui sopra e tenuto conto del dato storico sulla parziale esigibilità delle rette e contribuzione per i servizi pubblici a domanda è previsto nella spesa un fondo svalutazione crediti di euro ……</w:t>
      </w:r>
    </w:p>
    <w:p w:rsidR="001811EC" w:rsidRDefault="001811EC">
      <w:pPr>
        <w:numPr>
          <w:ilvl w:val="12"/>
          <w:numId w:val="0"/>
        </w:numPr>
        <w:jc w:val="both"/>
        <w:rPr>
          <w:rFonts w:ascii="Arial" w:hAnsi="Arial" w:cs="Arial"/>
          <w:sz w:val="22"/>
          <w:szCs w:val="22"/>
        </w:rPr>
      </w:pPr>
    </w:p>
    <w:p w:rsidR="001811EC" w:rsidRDefault="002121F5">
      <w:pPr>
        <w:numPr>
          <w:ilvl w:val="12"/>
          <w:numId w:val="0"/>
        </w:numPr>
        <w:jc w:val="both"/>
        <w:rPr>
          <w:rFonts w:ascii="Arial" w:hAnsi="Arial" w:cs="Arial"/>
          <w:sz w:val="22"/>
          <w:szCs w:val="22"/>
        </w:rPr>
      </w:pPr>
      <w:r>
        <w:rPr>
          <w:rFonts w:ascii="Arial" w:hAnsi="Arial" w:cs="Arial"/>
          <w:sz w:val="22"/>
          <w:szCs w:val="22"/>
        </w:rPr>
        <w:lastRenderedPageBreak/>
        <w:t>In merito si osserva:  …………………………..</w:t>
      </w:r>
    </w:p>
    <w:p w:rsidR="001811EC" w:rsidRDefault="001811EC">
      <w:pPr>
        <w:numPr>
          <w:ilvl w:val="12"/>
          <w:numId w:val="0"/>
        </w:numPr>
        <w:jc w:val="both"/>
        <w:rPr>
          <w:rFonts w:ascii="Arial" w:hAnsi="Arial" w:cs="Arial"/>
          <w:b/>
          <w:color w:val="FF0000"/>
          <w:sz w:val="22"/>
          <w:szCs w:val="22"/>
        </w:rPr>
      </w:pPr>
    </w:p>
    <w:p w:rsidR="001811EC" w:rsidRDefault="002121F5">
      <w:pPr>
        <w:numPr>
          <w:ilvl w:val="12"/>
          <w:numId w:val="0"/>
        </w:numPr>
        <w:jc w:val="both"/>
        <w:rPr>
          <w:rFonts w:ascii="Arial" w:hAnsi="Arial" w:cs="Arial"/>
          <w:sz w:val="22"/>
          <w:szCs w:val="22"/>
        </w:rPr>
      </w:pPr>
      <w:r>
        <w:rPr>
          <w:rFonts w:ascii="Arial" w:hAnsi="Arial" w:cs="Arial"/>
          <w:sz w:val="22"/>
          <w:szCs w:val="22"/>
        </w:rPr>
        <w:t xml:space="preserve">L’organo di revisione prende atto che l’ente </w:t>
      </w:r>
      <w:r>
        <w:rPr>
          <w:rFonts w:ascii="Arial" w:hAnsi="Arial" w:cs="Arial"/>
          <w:i/>
          <w:color w:val="365F91" w:themeColor="accent1" w:themeShade="BF"/>
          <w:sz w:val="22"/>
          <w:szCs w:val="22"/>
        </w:rPr>
        <w:t>ha/non ha</w:t>
      </w:r>
      <w:r>
        <w:rPr>
          <w:rFonts w:ascii="Arial" w:hAnsi="Arial" w:cs="Arial"/>
          <w:color w:val="365F91" w:themeColor="accent1" w:themeShade="BF"/>
          <w:sz w:val="22"/>
          <w:szCs w:val="22"/>
        </w:rPr>
        <w:t xml:space="preserve"> </w:t>
      </w:r>
      <w:r>
        <w:rPr>
          <w:rFonts w:ascii="Arial" w:hAnsi="Arial" w:cs="Arial"/>
          <w:sz w:val="22"/>
          <w:szCs w:val="22"/>
        </w:rPr>
        <w:t>provveduto ad adeguare le seguenti tariffe:…………</w:t>
      </w:r>
    </w:p>
    <w:p w:rsidR="001811EC" w:rsidRDefault="001811EC">
      <w:pPr>
        <w:numPr>
          <w:ilvl w:val="12"/>
          <w:numId w:val="0"/>
        </w:numPr>
        <w:jc w:val="both"/>
        <w:rPr>
          <w:rFonts w:ascii="Arial" w:hAnsi="Arial" w:cs="Arial"/>
          <w:sz w:val="22"/>
          <w:szCs w:val="22"/>
        </w:rPr>
      </w:pPr>
    </w:p>
    <w:p w:rsidR="001811EC" w:rsidRDefault="001811EC">
      <w:pPr>
        <w:numPr>
          <w:ilvl w:val="12"/>
          <w:numId w:val="0"/>
        </w:numPr>
        <w:jc w:val="both"/>
        <w:rPr>
          <w:rFonts w:ascii="Arial" w:hAnsi="Arial" w:cs="Arial"/>
          <w:sz w:val="22"/>
          <w:szCs w:val="22"/>
        </w:rPr>
      </w:pPr>
    </w:p>
    <w:p w:rsidR="001811EC" w:rsidRDefault="002121F5">
      <w:pPr>
        <w:rPr>
          <w:rFonts w:ascii="Arial" w:hAnsi="Arial" w:cs="Arial"/>
          <w:b/>
          <w:u w:val="single"/>
        </w:rPr>
      </w:pPr>
      <w:r>
        <w:rPr>
          <w:rFonts w:ascii="Arial" w:hAnsi="Arial" w:cs="Arial"/>
          <w:b/>
          <w:u w:val="single"/>
        </w:rPr>
        <w:t>Sanzioni amministrative da codice della strada</w:t>
      </w:r>
    </w:p>
    <w:p w:rsidR="001811EC" w:rsidRDefault="002121F5">
      <w:pPr>
        <w:numPr>
          <w:ilvl w:val="12"/>
          <w:numId w:val="0"/>
        </w:numPr>
        <w:spacing w:after="120"/>
        <w:jc w:val="both"/>
        <w:rPr>
          <w:rFonts w:ascii="Arial" w:hAnsi="Arial" w:cs="Arial"/>
          <w:sz w:val="22"/>
          <w:szCs w:val="22"/>
        </w:rPr>
      </w:pPr>
      <w:r>
        <w:rPr>
          <w:rFonts w:ascii="Arial" w:hAnsi="Arial" w:cs="Arial"/>
          <w:sz w:val="22"/>
          <w:szCs w:val="22"/>
        </w:rPr>
        <w:t>I proventi da sanzioni amministrative sono così previsti:</w:t>
      </w:r>
    </w:p>
    <w:bookmarkStart w:id="55" w:name="_MON_1542695234"/>
    <w:bookmarkEnd w:id="55"/>
    <w:p w:rsidR="001811EC" w:rsidRDefault="00A608DA">
      <w:pPr>
        <w:numPr>
          <w:ilvl w:val="12"/>
          <w:numId w:val="0"/>
        </w:numPr>
        <w:spacing w:after="120"/>
        <w:jc w:val="center"/>
        <w:rPr>
          <w:rFonts w:ascii="Arial" w:hAnsi="Arial" w:cs="Arial"/>
          <w:sz w:val="22"/>
          <w:szCs w:val="22"/>
        </w:rPr>
      </w:pPr>
      <w:r w:rsidRPr="00FF759A">
        <w:rPr>
          <w:rFonts w:ascii="Arial" w:hAnsi="Arial" w:cs="Arial"/>
          <w:sz w:val="22"/>
          <w:szCs w:val="22"/>
        </w:rPr>
        <w:object w:dxaOrig="8390" w:dyaOrig="2646">
          <v:shape id="_x0000_i1037" type="#_x0000_t75" style="width:418.45pt;height:131.4pt" o:ole="">
            <v:imagedata r:id="rId125" o:title=""/>
          </v:shape>
          <o:OLEObject Type="Embed" ProgID="Excel.Sheet.12" ShapeID="_x0000_i1037" DrawAspect="Content" ObjectID="_1547620565" r:id="rId126"/>
        </w:object>
      </w:r>
    </w:p>
    <w:p w:rsidR="001811EC" w:rsidRDefault="002121F5">
      <w:pPr>
        <w:numPr>
          <w:ilvl w:val="12"/>
          <w:numId w:val="0"/>
        </w:numPr>
        <w:spacing w:after="120"/>
        <w:jc w:val="both"/>
        <w:rPr>
          <w:rFonts w:ascii="Arial" w:hAnsi="Arial" w:cs="Arial"/>
          <w:sz w:val="22"/>
          <w:szCs w:val="22"/>
        </w:rPr>
      </w:pPr>
      <w:r>
        <w:rPr>
          <w:rFonts w:ascii="Arial" w:hAnsi="Arial" w:cs="Arial"/>
          <w:sz w:val="22"/>
          <w:szCs w:val="22"/>
        </w:rPr>
        <w:t>La quantificazione dello stesso appare congrua in relazione all’andamento storico delle riscossioni rispetto agli accertamenti</w:t>
      </w:r>
      <w:r>
        <w:rPr>
          <w:rFonts w:ascii="Arial" w:hAnsi="Arial" w:cs="Arial"/>
          <w:b/>
        </w:rPr>
        <w:t xml:space="preserve">. </w:t>
      </w:r>
      <w:r>
        <w:rPr>
          <w:rFonts w:ascii="Arial" w:hAnsi="Arial" w:cs="Arial"/>
          <w:sz w:val="22"/>
          <w:szCs w:val="22"/>
        </w:rPr>
        <w:t>La somma da assoggettare a vincoli è così distinta:</w:t>
      </w:r>
    </w:p>
    <w:p w:rsidR="001811EC" w:rsidRDefault="002121F5">
      <w:pPr>
        <w:numPr>
          <w:ilvl w:val="12"/>
          <w:numId w:val="0"/>
        </w:numPr>
        <w:spacing w:after="120"/>
        <w:jc w:val="both"/>
        <w:rPr>
          <w:rFonts w:ascii="Arial" w:hAnsi="Arial" w:cs="Arial"/>
          <w:sz w:val="22"/>
          <w:szCs w:val="22"/>
        </w:rPr>
      </w:pPr>
      <w:r>
        <w:rPr>
          <w:rFonts w:ascii="Arial" w:hAnsi="Arial" w:cs="Arial"/>
          <w:sz w:val="22"/>
          <w:szCs w:val="22"/>
        </w:rPr>
        <w:t xml:space="preserve">- euro ……………. per sanzioni ex </w:t>
      </w:r>
      <w:hyperlink r:id="rId127" w:history="1">
        <w:r>
          <w:rPr>
            <w:rStyle w:val="Collegamentoipertestuale"/>
            <w:rFonts w:ascii="Arial" w:hAnsi="Arial" w:cs="Arial"/>
            <w:sz w:val="22"/>
            <w:szCs w:val="22"/>
          </w:rPr>
          <w:t>art. 208 comma 1 del codice della strada</w:t>
        </w:r>
      </w:hyperlink>
      <w:r>
        <w:rPr>
          <w:rFonts w:ascii="Arial" w:hAnsi="Arial" w:cs="Arial"/>
          <w:sz w:val="22"/>
          <w:szCs w:val="22"/>
        </w:rPr>
        <w:t>;</w:t>
      </w:r>
    </w:p>
    <w:p w:rsidR="001811EC" w:rsidRDefault="002121F5">
      <w:pPr>
        <w:numPr>
          <w:ilvl w:val="12"/>
          <w:numId w:val="0"/>
        </w:numPr>
        <w:spacing w:after="120"/>
        <w:jc w:val="both"/>
        <w:rPr>
          <w:rFonts w:ascii="Arial" w:hAnsi="Arial" w:cs="Arial"/>
          <w:sz w:val="22"/>
          <w:szCs w:val="22"/>
        </w:rPr>
      </w:pPr>
      <w:r>
        <w:rPr>
          <w:rFonts w:ascii="Arial" w:hAnsi="Arial" w:cs="Arial"/>
          <w:sz w:val="22"/>
          <w:szCs w:val="22"/>
        </w:rPr>
        <w:t xml:space="preserve">- euro ……………. per sanzioni ex </w:t>
      </w:r>
      <w:hyperlink r:id="rId128" w:history="1">
        <w:r>
          <w:rPr>
            <w:rStyle w:val="Collegamentoipertestuale"/>
            <w:rFonts w:ascii="Arial" w:hAnsi="Arial" w:cs="Arial"/>
            <w:sz w:val="22"/>
            <w:szCs w:val="22"/>
          </w:rPr>
          <w:t>art.142, comma 12 del codice della strada</w:t>
        </w:r>
      </w:hyperlink>
      <w:r>
        <w:rPr>
          <w:rFonts w:ascii="Arial" w:hAnsi="Arial" w:cs="Arial"/>
          <w:sz w:val="22"/>
          <w:szCs w:val="22"/>
        </w:rPr>
        <w:t>.</w:t>
      </w:r>
    </w:p>
    <w:p w:rsidR="001811EC" w:rsidRDefault="002121F5">
      <w:pPr>
        <w:numPr>
          <w:ilvl w:val="12"/>
          <w:numId w:val="0"/>
        </w:numPr>
        <w:spacing w:after="120"/>
        <w:jc w:val="both"/>
        <w:rPr>
          <w:rFonts w:ascii="Arial" w:hAnsi="Arial" w:cs="Arial"/>
          <w:sz w:val="22"/>
          <w:szCs w:val="22"/>
        </w:rPr>
      </w:pPr>
      <w:r>
        <w:rPr>
          <w:rFonts w:ascii="Arial" w:hAnsi="Arial" w:cs="Arial"/>
          <w:sz w:val="22"/>
          <w:szCs w:val="22"/>
        </w:rPr>
        <w:t xml:space="preserve">Con atto di Giunta  …… in data ……. le somma di euro …….. (previsione meno fondo) è stata destinata per il 50% negli interventi di spesa alle finalità di cui agli </w:t>
      </w:r>
      <w:hyperlink r:id="rId129" w:history="1">
        <w:r>
          <w:rPr>
            <w:rStyle w:val="Collegamentoipertestuale"/>
            <w:rFonts w:ascii="Arial" w:hAnsi="Arial" w:cs="Arial"/>
            <w:sz w:val="22"/>
            <w:szCs w:val="22"/>
          </w:rPr>
          <w:t>articoli 142</w:t>
        </w:r>
      </w:hyperlink>
      <w:r>
        <w:rPr>
          <w:rFonts w:ascii="Arial" w:hAnsi="Arial" w:cs="Arial"/>
          <w:sz w:val="22"/>
          <w:szCs w:val="22"/>
        </w:rPr>
        <w:t xml:space="preserve"> e </w:t>
      </w:r>
      <w:hyperlink r:id="rId130" w:history="1">
        <w:r>
          <w:rPr>
            <w:rStyle w:val="Collegamentoipertestuale"/>
            <w:rFonts w:ascii="Arial" w:hAnsi="Arial" w:cs="Arial"/>
            <w:sz w:val="22"/>
            <w:szCs w:val="22"/>
          </w:rPr>
          <w:t>208</w:t>
        </w:r>
      </w:hyperlink>
      <w:r>
        <w:rPr>
          <w:rFonts w:ascii="Arial" w:hAnsi="Arial" w:cs="Arial"/>
          <w:sz w:val="22"/>
          <w:szCs w:val="22"/>
        </w:rPr>
        <w:t xml:space="preserve">, comma 4, del codice della strada, come modificato dalla </w:t>
      </w:r>
      <w:hyperlink r:id="rId131" w:history="1">
        <w:r>
          <w:rPr>
            <w:rStyle w:val="Collegamentoipertestuale"/>
            <w:rFonts w:ascii="Arial" w:hAnsi="Arial" w:cs="Arial"/>
            <w:sz w:val="22"/>
            <w:szCs w:val="22"/>
          </w:rPr>
          <w:t>Legge n. 120 del 29/7/2010</w:t>
        </w:r>
      </w:hyperlink>
      <w:r>
        <w:rPr>
          <w:rFonts w:ascii="Arial" w:hAnsi="Arial" w:cs="Arial"/>
          <w:sz w:val="22"/>
          <w:szCs w:val="22"/>
        </w:rPr>
        <w:t>.</w:t>
      </w:r>
    </w:p>
    <w:p w:rsidR="001811EC" w:rsidRDefault="002121F5">
      <w:pPr>
        <w:numPr>
          <w:ilvl w:val="12"/>
          <w:numId w:val="0"/>
        </w:numPr>
        <w:spacing w:after="120"/>
        <w:jc w:val="both"/>
        <w:rPr>
          <w:rFonts w:ascii="Arial" w:hAnsi="Arial" w:cs="Arial"/>
          <w:sz w:val="22"/>
          <w:szCs w:val="22"/>
        </w:rPr>
      </w:pPr>
      <w:r>
        <w:rPr>
          <w:rFonts w:ascii="Arial" w:hAnsi="Arial" w:cs="Arial"/>
          <w:sz w:val="22"/>
          <w:szCs w:val="22"/>
        </w:rPr>
        <w:t>La Giunta ha destinato euro ……………….. alla previdenza ed assistenza del personale Polizia Municipale.</w:t>
      </w:r>
    </w:p>
    <w:p w:rsidR="001811EC" w:rsidRDefault="002121F5">
      <w:pPr>
        <w:numPr>
          <w:ilvl w:val="12"/>
          <w:numId w:val="0"/>
        </w:numPr>
        <w:spacing w:after="120"/>
        <w:jc w:val="both"/>
        <w:rPr>
          <w:rFonts w:ascii="Arial" w:hAnsi="Arial" w:cs="Arial"/>
          <w:sz w:val="22"/>
          <w:szCs w:val="22"/>
        </w:rPr>
      </w:pPr>
      <w:r>
        <w:rPr>
          <w:rFonts w:ascii="Arial" w:hAnsi="Arial" w:cs="Arial"/>
          <w:sz w:val="22"/>
          <w:szCs w:val="22"/>
        </w:rPr>
        <w:t>La quota vincolata è destinata:</w:t>
      </w:r>
    </w:p>
    <w:p w:rsidR="001811EC" w:rsidRDefault="002121F5">
      <w:pPr>
        <w:numPr>
          <w:ilvl w:val="12"/>
          <w:numId w:val="0"/>
        </w:numPr>
        <w:spacing w:after="120"/>
        <w:jc w:val="both"/>
        <w:rPr>
          <w:rFonts w:ascii="Arial" w:hAnsi="Arial" w:cs="Arial"/>
          <w:sz w:val="22"/>
          <w:szCs w:val="22"/>
        </w:rPr>
      </w:pPr>
      <w:r>
        <w:rPr>
          <w:rFonts w:ascii="Arial" w:hAnsi="Arial" w:cs="Arial"/>
          <w:sz w:val="22"/>
          <w:szCs w:val="22"/>
        </w:rPr>
        <w:t xml:space="preserve"> al titolo 1 spesa corrente per euro ………….. </w:t>
      </w:r>
    </w:p>
    <w:p w:rsidR="001811EC" w:rsidRDefault="002121F5">
      <w:pPr>
        <w:numPr>
          <w:ilvl w:val="12"/>
          <w:numId w:val="0"/>
        </w:numPr>
        <w:spacing w:after="120"/>
        <w:jc w:val="both"/>
        <w:rPr>
          <w:rFonts w:ascii="Arial" w:hAnsi="Arial" w:cs="Arial"/>
          <w:sz w:val="22"/>
          <w:szCs w:val="22"/>
        </w:rPr>
      </w:pPr>
      <w:r>
        <w:rPr>
          <w:rFonts w:ascii="Arial" w:hAnsi="Arial" w:cs="Arial"/>
          <w:sz w:val="22"/>
          <w:szCs w:val="22"/>
        </w:rPr>
        <w:t xml:space="preserve"> al titolo 2 spesa in conto capitale per euro…………...</w:t>
      </w:r>
    </w:p>
    <w:p w:rsidR="001811EC" w:rsidRDefault="001811EC">
      <w:pPr>
        <w:pStyle w:val="Titolo3"/>
      </w:pPr>
      <w:bookmarkStart w:id="56" w:name="_MON_1513327445"/>
      <w:bookmarkStart w:id="57" w:name="_Cosap_(Canone_occupazione"/>
      <w:bookmarkEnd w:id="56"/>
      <w:bookmarkEnd w:id="57"/>
    </w:p>
    <w:p w:rsidR="001811EC" w:rsidRDefault="002121F5">
      <w:pPr>
        <w:rPr>
          <w:rFonts w:ascii="Arial" w:hAnsi="Arial" w:cs="Arial"/>
          <w:b/>
          <w:u w:val="single"/>
        </w:rPr>
      </w:pPr>
      <w:bookmarkStart w:id="58" w:name="_SPESE_CORRENTI"/>
      <w:bookmarkStart w:id="59" w:name="_Toc379377460"/>
      <w:bookmarkStart w:id="60" w:name="_Toc346838832"/>
      <w:bookmarkEnd w:id="58"/>
      <w:r>
        <w:rPr>
          <w:rFonts w:ascii="Arial" w:hAnsi="Arial" w:cs="Arial"/>
          <w:b/>
          <w:u w:val="single"/>
        </w:rPr>
        <w:t>Contributi per permesso di costruire</w:t>
      </w:r>
      <w:bookmarkEnd w:id="59"/>
    </w:p>
    <w:p w:rsidR="001811EC" w:rsidRDefault="001811EC">
      <w:pPr>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La previsione del contributo per permesso di costruire e la sua percentuale di destinazione alla spesa corrente confrontata con gli accertamenti degli ultimi anni è la seguente:</w:t>
      </w:r>
    </w:p>
    <w:p w:rsidR="001811EC" w:rsidRDefault="001811EC">
      <w:pPr>
        <w:rPr>
          <w:rFonts w:ascii="Arial" w:hAnsi="Arial" w:cs="Arial"/>
          <w:sz w:val="22"/>
          <w:szCs w:val="22"/>
        </w:rPr>
      </w:pPr>
    </w:p>
    <w:tbl>
      <w:tblPr>
        <w:tblW w:w="4546" w:type="dxa"/>
        <w:jc w:val="center"/>
        <w:tblCellMar>
          <w:left w:w="70" w:type="dxa"/>
          <w:right w:w="70" w:type="dxa"/>
        </w:tblCellMar>
        <w:tblLook w:val="04A0" w:firstRow="1" w:lastRow="0" w:firstColumn="1" w:lastColumn="0" w:noHBand="0" w:noVBand="1"/>
      </w:tblPr>
      <w:tblGrid>
        <w:gridCol w:w="960"/>
        <w:gridCol w:w="1500"/>
        <w:gridCol w:w="2086"/>
      </w:tblGrid>
      <w:tr w:rsidR="001811EC">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11EC" w:rsidRDefault="002121F5">
            <w:pPr>
              <w:jc w:val="center"/>
              <w:rPr>
                <w:rFonts w:ascii="Arial" w:hAnsi="Arial" w:cs="Arial"/>
                <w:b/>
                <w:color w:val="000000"/>
              </w:rPr>
            </w:pPr>
            <w:r>
              <w:rPr>
                <w:rFonts w:ascii="Arial" w:hAnsi="Arial" w:cs="Arial"/>
                <w:b/>
                <w:color w:val="000000"/>
                <w:sz w:val="22"/>
                <w:szCs w:val="22"/>
              </w:rPr>
              <w:t>Anno</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1811EC" w:rsidRDefault="002121F5">
            <w:pPr>
              <w:jc w:val="center"/>
              <w:rPr>
                <w:rFonts w:ascii="Arial" w:hAnsi="Arial" w:cs="Arial"/>
                <w:b/>
                <w:color w:val="000000"/>
              </w:rPr>
            </w:pPr>
            <w:r>
              <w:rPr>
                <w:rFonts w:ascii="Arial" w:hAnsi="Arial" w:cs="Arial"/>
                <w:b/>
                <w:color w:val="000000"/>
                <w:sz w:val="22"/>
                <w:szCs w:val="22"/>
              </w:rPr>
              <w:t>Importo</w:t>
            </w:r>
          </w:p>
        </w:tc>
        <w:tc>
          <w:tcPr>
            <w:tcW w:w="2086" w:type="dxa"/>
            <w:tcBorders>
              <w:top w:val="single" w:sz="4" w:space="0" w:color="auto"/>
              <w:left w:val="nil"/>
              <w:bottom w:val="single" w:sz="4" w:space="0" w:color="auto"/>
              <w:right w:val="single" w:sz="4" w:space="0" w:color="auto"/>
            </w:tcBorders>
            <w:shd w:val="clear" w:color="auto" w:fill="auto"/>
            <w:noWrap/>
            <w:vAlign w:val="bottom"/>
            <w:hideMark/>
          </w:tcPr>
          <w:p w:rsidR="001811EC" w:rsidRDefault="002121F5">
            <w:pPr>
              <w:jc w:val="center"/>
              <w:rPr>
                <w:rFonts w:ascii="Arial" w:hAnsi="Arial" w:cs="Arial"/>
                <w:b/>
                <w:color w:val="000000"/>
              </w:rPr>
            </w:pPr>
            <w:r>
              <w:rPr>
                <w:rFonts w:ascii="Arial" w:hAnsi="Arial" w:cs="Arial"/>
                <w:b/>
                <w:color w:val="000000"/>
                <w:sz w:val="22"/>
                <w:szCs w:val="22"/>
              </w:rPr>
              <w:t>% spesa corrente</w:t>
            </w:r>
          </w:p>
        </w:tc>
      </w:tr>
      <w:tr w:rsidR="001811E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811EC" w:rsidRDefault="002121F5">
            <w:pPr>
              <w:jc w:val="center"/>
              <w:rPr>
                <w:rFonts w:ascii="Arial" w:hAnsi="Arial" w:cs="Arial"/>
                <w:color w:val="000000"/>
              </w:rPr>
            </w:pPr>
            <w:r>
              <w:rPr>
                <w:rFonts w:ascii="Arial" w:hAnsi="Arial" w:cs="Arial"/>
                <w:color w:val="000000"/>
                <w:sz w:val="22"/>
                <w:szCs w:val="22"/>
              </w:rPr>
              <w:t>2015</w:t>
            </w:r>
          </w:p>
        </w:tc>
        <w:tc>
          <w:tcPr>
            <w:tcW w:w="1500" w:type="dxa"/>
            <w:tcBorders>
              <w:top w:val="nil"/>
              <w:left w:val="nil"/>
              <w:bottom w:val="single" w:sz="4" w:space="0" w:color="auto"/>
              <w:right w:val="single" w:sz="4" w:space="0" w:color="auto"/>
            </w:tcBorders>
            <w:shd w:val="clear" w:color="auto" w:fill="auto"/>
            <w:noWrap/>
            <w:vAlign w:val="bottom"/>
            <w:hideMark/>
          </w:tcPr>
          <w:p w:rsidR="001811EC" w:rsidRDefault="001811EC">
            <w:pPr>
              <w:jc w:val="center"/>
              <w:rPr>
                <w:rFonts w:ascii="Arial" w:hAnsi="Arial" w:cs="Arial"/>
                <w:color w:val="000000"/>
              </w:rPr>
            </w:pPr>
          </w:p>
        </w:tc>
        <w:tc>
          <w:tcPr>
            <w:tcW w:w="2086" w:type="dxa"/>
            <w:tcBorders>
              <w:top w:val="nil"/>
              <w:left w:val="nil"/>
              <w:bottom w:val="single" w:sz="4" w:space="0" w:color="auto"/>
              <w:right w:val="single" w:sz="4" w:space="0" w:color="auto"/>
            </w:tcBorders>
            <w:shd w:val="clear" w:color="auto" w:fill="auto"/>
            <w:noWrap/>
            <w:vAlign w:val="bottom"/>
            <w:hideMark/>
          </w:tcPr>
          <w:p w:rsidR="001811EC" w:rsidRDefault="001811EC">
            <w:pPr>
              <w:jc w:val="center"/>
              <w:rPr>
                <w:rFonts w:ascii="Arial" w:hAnsi="Arial" w:cs="Arial"/>
                <w:color w:val="000000"/>
              </w:rPr>
            </w:pPr>
          </w:p>
        </w:tc>
      </w:tr>
      <w:tr w:rsidR="001811E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811EC" w:rsidRDefault="002121F5">
            <w:pPr>
              <w:jc w:val="center"/>
              <w:rPr>
                <w:rFonts w:ascii="Arial" w:hAnsi="Arial" w:cs="Arial"/>
                <w:color w:val="000000"/>
              </w:rPr>
            </w:pPr>
            <w:r>
              <w:rPr>
                <w:rFonts w:ascii="Arial" w:hAnsi="Arial" w:cs="Arial"/>
                <w:color w:val="000000"/>
                <w:sz w:val="22"/>
                <w:szCs w:val="22"/>
              </w:rPr>
              <w:t>2016</w:t>
            </w:r>
          </w:p>
        </w:tc>
        <w:tc>
          <w:tcPr>
            <w:tcW w:w="1500" w:type="dxa"/>
            <w:tcBorders>
              <w:top w:val="nil"/>
              <w:left w:val="nil"/>
              <w:bottom w:val="single" w:sz="4" w:space="0" w:color="auto"/>
              <w:right w:val="single" w:sz="4" w:space="0" w:color="auto"/>
            </w:tcBorders>
            <w:shd w:val="clear" w:color="auto" w:fill="auto"/>
            <w:noWrap/>
            <w:vAlign w:val="bottom"/>
            <w:hideMark/>
          </w:tcPr>
          <w:p w:rsidR="001811EC" w:rsidRDefault="001811EC">
            <w:pPr>
              <w:jc w:val="center"/>
              <w:rPr>
                <w:rFonts w:ascii="Arial" w:hAnsi="Arial" w:cs="Arial"/>
                <w:color w:val="000000"/>
              </w:rPr>
            </w:pPr>
          </w:p>
        </w:tc>
        <w:tc>
          <w:tcPr>
            <w:tcW w:w="2086" w:type="dxa"/>
            <w:tcBorders>
              <w:top w:val="nil"/>
              <w:left w:val="nil"/>
              <w:bottom w:val="single" w:sz="4" w:space="0" w:color="auto"/>
              <w:right w:val="single" w:sz="4" w:space="0" w:color="auto"/>
            </w:tcBorders>
            <w:shd w:val="clear" w:color="auto" w:fill="auto"/>
            <w:noWrap/>
            <w:vAlign w:val="bottom"/>
            <w:hideMark/>
          </w:tcPr>
          <w:p w:rsidR="001811EC" w:rsidRDefault="001811EC">
            <w:pPr>
              <w:jc w:val="center"/>
              <w:rPr>
                <w:rFonts w:ascii="Arial" w:hAnsi="Arial" w:cs="Arial"/>
                <w:color w:val="000000"/>
              </w:rPr>
            </w:pPr>
          </w:p>
        </w:tc>
      </w:tr>
      <w:tr w:rsidR="001811E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811EC" w:rsidRDefault="002121F5">
            <w:pPr>
              <w:jc w:val="center"/>
              <w:rPr>
                <w:rFonts w:ascii="Arial" w:hAnsi="Arial" w:cs="Arial"/>
                <w:color w:val="000000"/>
              </w:rPr>
            </w:pPr>
            <w:r>
              <w:rPr>
                <w:rFonts w:ascii="Arial" w:hAnsi="Arial" w:cs="Arial"/>
                <w:color w:val="000000"/>
                <w:sz w:val="22"/>
                <w:szCs w:val="22"/>
              </w:rPr>
              <w:t>2017</w:t>
            </w:r>
          </w:p>
        </w:tc>
        <w:tc>
          <w:tcPr>
            <w:tcW w:w="1500" w:type="dxa"/>
            <w:tcBorders>
              <w:top w:val="nil"/>
              <w:left w:val="nil"/>
              <w:bottom w:val="single" w:sz="4" w:space="0" w:color="auto"/>
              <w:right w:val="single" w:sz="4" w:space="0" w:color="auto"/>
            </w:tcBorders>
            <w:shd w:val="clear" w:color="auto" w:fill="auto"/>
            <w:noWrap/>
            <w:vAlign w:val="bottom"/>
            <w:hideMark/>
          </w:tcPr>
          <w:p w:rsidR="001811EC" w:rsidRDefault="001811EC">
            <w:pPr>
              <w:jc w:val="center"/>
              <w:rPr>
                <w:rFonts w:ascii="Arial" w:hAnsi="Arial" w:cs="Arial"/>
                <w:color w:val="000000"/>
              </w:rPr>
            </w:pPr>
          </w:p>
        </w:tc>
        <w:tc>
          <w:tcPr>
            <w:tcW w:w="2086" w:type="dxa"/>
            <w:tcBorders>
              <w:top w:val="nil"/>
              <w:left w:val="nil"/>
              <w:bottom w:val="single" w:sz="4" w:space="0" w:color="auto"/>
              <w:right w:val="single" w:sz="4" w:space="0" w:color="auto"/>
            </w:tcBorders>
            <w:shd w:val="clear" w:color="auto" w:fill="auto"/>
            <w:noWrap/>
            <w:vAlign w:val="bottom"/>
            <w:hideMark/>
          </w:tcPr>
          <w:p w:rsidR="001811EC" w:rsidRDefault="001811EC">
            <w:pPr>
              <w:jc w:val="center"/>
              <w:rPr>
                <w:rFonts w:ascii="Arial" w:hAnsi="Arial" w:cs="Arial"/>
                <w:color w:val="000000"/>
              </w:rPr>
            </w:pPr>
          </w:p>
        </w:tc>
      </w:tr>
      <w:tr w:rsidR="001811E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811EC" w:rsidRDefault="002121F5">
            <w:pPr>
              <w:jc w:val="center"/>
              <w:rPr>
                <w:rFonts w:ascii="Arial" w:hAnsi="Arial" w:cs="Arial"/>
                <w:color w:val="000000"/>
              </w:rPr>
            </w:pPr>
            <w:r>
              <w:rPr>
                <w:rFonts w:ascii="Arial" w:hAnsi="Arial" w:cs="Arial"/>
                <w:color w:val="000000"/>
                <w:sz w:val="22"/>
                <w:szCs w:val="22"/>
              </w:rPr>
              <w:t>2018</w:t>
            </w:r>
          </w:p>
        </w:tc>
        <w:tc>
          <w:tcPr>
            <w:tcW w:w="1500" w:type="dxa"/>
            <w:tcBorders>
              <w:top w:val="nil"/>
              <w:left w:val="nil"/>
              <w:bottom w:val="single" w:sz="4" w:space="0" w:color="auto"/>
              <w:right w:val="single" w:sz="4" w:space="0" w:color="auto"/>
            </w:tcBorders>
            <w:shd w:val="clear" w:color="auto" w:fill="auto"/>
            <w:noWrap/>
            <w:vAlign w:val="bottom"/>
            <w:hideMark/>
          </w:tcPr>
          <w:p w:rsidR="001811EC" w:rsidRDefault="001811EC">
            <w:pPr>
              <w:jc w:val="center"/>
              <w:rPr>
                <w:rFonts w:ascii="Arial" w:hAnsi="Arial" w:cs="Arial"/>
                <w:color w:val="000000"/>
              </w:rPr>
            </w:pPr>
          </w:p>
        </w:tc>
        <w:tc>
          <w:tcPr>
            <w:tcW w:w="2086" w:type="dxa"/>
            <w:tcBorders>
              <w:top w:val="nil"/>
              <w:left w:val="nil"/>
              <w:bottom w:val="single" w:sz="4" w:space="0" w:color="auto"/>
              <w:right w:val="single" w:sz="4" w:space="0" w:color="auto"/>
            </w:tcBorders>
            <w:shd w:val="clear" w:color="auto" w:fill="auto"/>
            <w:noWrap/>
            <w:vAlign w:val="bottom"/>
            <w:hideMark/>
          </w:tcPr>
          <w:p w:rsidR="001811EC" w:rsidRDefault="001811EC">
            <w:pPr>
              <w:jc w:val="center"/>
              <w:rPr>
                <w:rFonts w:ascii="Arial" w:hAnsi="Arial" w:cs="Arial"/>
                <w:color w:val="000000"/>
              </w:rPr>
            </w:pPr>
          </w:p>
        </w:tc>
      </w:tr>
      <w:tr w:rsidR="001811E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811EC" w:rsidRDefault="002121F5">
            <w:pPr>
              <w:jc w:val="center"/>
              <w:rPr>
                <w:rFonts w:ascii="Arial" w:hAnsi="Arial" w:cs="Arial"/>
                <w:color w:val="000000"/>
              </w:rPr>
            </w:pPr>
            <w:r>
              <w:rPr>
                <w:rFonts w:ascii="Arial" w:hAnsi="Arial" w:cs="Arial"/>
                <w:color w:val="000000"/>
                <w:sz w:val="22"/>
                <w:szCs w:val="22"/>
              </w:rPr>
              <w:t>2019</w:t>
            </w:r>
          </w:p>
        </w:tc>
        <w:tc>
          <w:tcPr>
            <w:tcW w:w="1500" w:type="dxa"/>
            <w:tcBorders>
              <w:top w:val="nil"/>
              <w:left w:val="nil"/>
              <w:bottom w:val="single" w:sz="4" w:space="0" w:color="auto"/>
              <w:right w:val="single" w:sz="4" w:space="0" w:color="auto"/>
            </w:tcBorders>
            <w:shd w:val="clear" w:color="auto" w:fill="auto"/>
            <w:noWrap/>
            <w:vAlign w:val="bottom"/>
            <w:hideMark/>
          </w:tcPr>
          <w:p w:rsidR="001811EC" w:rsidRDefault="001811EC">
            <w:pPr>
              <w:jc w:val="center"/>
              <w:rPr>
                <w:rFonts w:ascii="Arial" w:hAnsi="Arial" w:cs="Arial"/>
                <w:color w:val="000000"/>
              </w:rPr>
            </w:pPr>
          </w:p>
        </w:tc>
        <w:tc>
          <w:tcPr>
            <w:tcW w:w="2086" w:type="dxa"/>
            <w:tcBorders>
              <w:top w:val="nil"/>
              <w:left w:val="nil"/>
              <w:bottom w:val="single" w:sz="4" w:space="0" w:color="auto"/>
              <w:right w:val="single" w:sz="4" w:space="0" w:color="auto"/>
            </w:tcBorders>
            <w:shd w:val="clear" w:color="auto" w:fill="auto"/>
            <w:noWrap/>
            <w:vAlign w:val="bottom"/>
            <w:hideMark/>
          </w:tcPr>
          <w:p w:rsidR="001811EC" w:rsidRDefault="001811EC">
            <w:pPr>
              <w:jc w:val="center"/>
              <w:rPr>
                <w:rFonts w:ascii="Arial" w:hAnsi="Arial" w:cs="Arial"/>
                <w:color w:val="000000"/>
              </w:rPr>
            </w:pPr>
          </w:p>
        </w:tc>
      </w:tr>
    </w:tbl>
    <w:p w:rsidR="001811EC" w:rsidRDefault="001811EC">
      <w:pPr>
        <w:rPr>
          <w:rFonts w:ascii="Arial" w:hAnsi="Arial" w:cs="Arial"/>
          <w:sz w:val="22"/>
          <w:szCs w:val="22"/>
        </w:rPr>
      </w:pPr>
    </w:p>
    <w:p w:rsidR="001811EC" w:rsidRDefault="002121F5" w:rsidP="00673CAC">
      <w:pPr>
        <w:shd w:val="clear" w:color="auto" w:fill="FFFF00"/>
        <w:jc w:val="both"/>
        <w:rPr>
          <w:rFonts w:ascii="Arial" w:hAnsi="Arial" w:cs="Arial"/>
          <w:sz w:val="22"/>
          <w:szCs w:val="22"/>
        </w:rPr>
      </w:pPr>
      <w:bookmarkStart w:id="61" w:name="_MON_1513436156"/>
      <w:bookmarkEnd w:id="61"/>
      <w:r>
        <w:rPr>
          <w:rFonts w:ascii="Arial" w:hAnsi="Arial" w:cs="Arial"/>
          <w:sz w:val="22"/>
          <w:szCs w:val="22"/>
        </w:rPr>
        <w:t>La legge di bilancio per l’anno 2017 prevede che a partire dal 1/1/2018 i proventi del contributo per permesso di costruire e relative sanzioni siano destinati esclusivamente a:</w:t>
      </w:r>
    </w:p>
    <w:p w:rsidR="001811EC" w:rsidRDefault="002121F5" w:rsidP="00673CAC">
      <w:pPr>
        <w:pStyle w:val="Paragrafoelenco"/>
        <w:numPr>
          <w:ilvl w:val="0"/>
          <w:numId w:val="16"/>
        </w:numPr>
        <w:shd w:val="clear" w:color="auto" w:fill="FFFF00"/>
        <w:jc w:val="both"/>
        <w:rPr>
          <w:rFonts w:ascii="Arial" w:hAnsi="Arial" w:cs="Arial"/>
          <w:sz w:val="22"/>
          <w:szCs w:val="22"/>
        </w:rPr>
      </w:pPr>
      <w:r>
        <w:rPr>
          <w:rFonts w:ascii="Arial" w:hAnsi="Arial" w:cs="Arial"/>
          <w:sz w:val="22"/>
          <w:szCs w:val="22"/>
        </w:rPr>
        <w:t>realizzazione e manutenzione ordinaria e straordinaria delle opere di urbanizzazione primaria e secondaria;</w:t>
      </w:r>
    </w:p>
    <w:p w:rsidR="001811EC" w:rsidRDefault="002121F5" w:rsidP="00673CAC">
      <w:pPr>
        <w:pStyle w:val="Paragrafoelenco"/>
        <w:numPr>
          <w:ilvl w:val="0"/>
          <w:numId w:val="16"/>
        </w:numPr>
        <w:shd w:val="clear" w:color="auto" w:fill="FFFF00"/>
        <w:jc w:val="both"/>
        <w:rPr>
          <w:rFonts w:ascii="Arial" w:hAnsi="Arial" w:cs="Arial"/>
          <w:sz w:val="22"/>
          <w:szCs w:val="22"/>
        </w:rPr>
      </w:pPr>
      <w:r>
        <w:rPr>
          <w:rFonts w:ascii="Arial" w:hAnsi="Arial" w:cs="Arial"/>
          <w:sz w:val="22"/>
          <w:szCs w:val="22"/>
        </w:rPr>
        <w:t>risanamento di complessi edilizi compresi nei centri storici e nelle periferie degradate;</w:t>
      </w:r>
    </w:p>
    <w:p w:rsidR="001811EC" w:rsidRDefault="002121F5" w:rsidP="00673CAC">
      <w:pPr>
        <w:pStyle w:val="Paragrafoelenco"/>
        <w:numPr>
          <w:ilvl w:val="0"/>
          <w:numId w:val="16"/>
        </w:numPr>
        <w:shd w:val="clear" w:color="auto" w:fill="FFFF00"/>
        <w:jc w:val="both"/>
        <w:rPr>
          <w:rFonts w:ascii="Arial" w:hAnsi="Arial" w:cs="Arial"/>
          <w:sz w:val="22"/>
          <w:szCs w:val="22"/>
        </w:rPr>
      </w:pPr>
      <w:r>
        <w:rPr>
          <w:rFonts w:ascii="Arial" w:hAnsi="Arial" w:cs="Arial"/>
          <w:sz w:val="22"/>
          <w:szCs w:val="22"/>
        </w:rPr>
        <w:lastRenderedPageBreak/>
        <w:t>interventi di riuso e di rigenerazione;</w:t>
      </w:r>
    </w:p>
    <w:p w:rsidR="001811EC" w:rsidRDefault="002121F5" w:rsidP="00673CAC">
      <w:pPr>
        <w:pStyle w:val="Paragrafoelenco"/>
        <w:numPr>
          <w:ilvl w:val="0"/>
          <w:numId w:val="16"/>
        </w:numPr>
        <w:shd w:val="clear" w:color="auto" w:fill="FFFF00"/>
        <w:jc w:val="both"/>
        <w:rPr>
          <w:rFonts w:ascii="Arial" w:hAnsi="Arial" w:cs="Arial"/>
          <w:sz w:val="22"/>
          <w:szCs w:val="22"/>
        </w:rPr>
      </w:pPr>
      <w:r>
        <w:rPr>
          <w:rFonts w:ascii="Arial" w:hAnsi="Arial" w:cs="Arial"/>
          <w:sz w:val="22"/>
          <w:szCs w:val="22"/>
        </w:rPr>
        <w:t>interventi di demolizione di costruzioni abusive;</w:t>
      </w:r>
    </w:p>
    <w:p w:rsidR="001811EC" w:rsidRDefault="002121F5" w:rsidP="00673CAC">
      <w:pPr>
        <w:pStyle w:val="Paragrafoelenco"/>
        <w:numPr>
          <w:ilvl w:val="0"/>
          <w:numId w:val="16"/>
        </w:numPr>
        <w:shd w:val="clear" w:color="auto" w:fill="FFFF00"/>
        <w:jc w:val="both"/>
        <w:rPr>
          <w:rFonts w:ascii="Arial" w:hAnsi="Arial" w:cs="Arial"/>
          <w:sz w:val="22"/>
          <w:szCs w:val="22"/>
        </w:rPr>
      </w:pPr>
      <w:r>
        <w:rPr>
          <w:rFonts w:ascii="Arial" w:hAnsi="Arial" w:cs="Arial"/>
          <w:sz w:val="22"/>
          <w:szCs w:val="22"/>
        </w:rPr>
        <w:t>acquisizione e realizzazione di aree verdi destinate ad uso pubblico;</w:t>
      </w:r>
    </w:p>
    <w:p w:rsidR="001811EC" w:rsidRDefault="002121F5" w:rsidP="00673CAC">
      <w:pPr>
        <w:pStyle w:val="Paragrafoelenco"/>
        <w:numPr>
          <w:ilvl w:val="0"/>
          <w:numId w:val="16"/>
        </w:numPr>
        <w:shd w:val="clear" w:color="auto" w:fill="FFFF00"/>
        <w:jc w:val="both"/>
        <w:rPr>
          <w:rFonts w:ascii="Arial" w:hAnsi="Arial" w:cs="Arial"/>
          <w:sz w:val="22"/>
          <w:szCs w:val="22"/>
        </w:rPr>
      </w:pPr>
      <w:r>
        <w:rPr>
          <w:rFonts w:ascii="Arial" w:hAnsi="Arial" w:cs="Arial"/>
          <w:sz w:val="22"/>
          <w:szCs w:val="22"/>
        </w:rPr>
        <w:t>interventi di tutela e riqualificazione dell’ambiente e del paesaggio, anche ai fini della prevenzione e della mitigazione del rischio idrogeologico e sismico e delle tutela e riqualificazione del patrimonio rurale pubblico;</w:t>
      </w:r>
    </w:p>
    <w:p w:rsidR="001811EC" w:rsidRDefault="002121F5" w:rsidP="00673CAC">
      <w:pPr>
        <w:pStyle w:val="Paragrafoelenco"/>
        <w:numPr>
          <w:ilvl w:val="0"/>
          <w:numId w:val="16"/>
        </w:numPr>
        <w:shd w:val="clear" w:color="auto" w:fill="FFFF00"/>
        <w:jc w:val="both"/>
        <w:rPr>
          <w:rFonts w:ascii="Arial" w:hAnsi="Arial" w:cs="Arial"/>
          <w:sz w:val="22"/>
          <w:szCs w:val="22"/>
        </w:rPr>
      </w:pPr>
      <w:r>
        <w:rPr>
          <w:rFonts w:ascii="Arial" w:hAnsi="Arial" w:cs="Arial"/>
          <w:sz w:val="22"/>
          <w:szCs w:val="22"/>
        </w:rPr>
        <w:t>interventi volti a favorire l’insediamento di attività di agricoltura in ambito urbano.</w:t>
      </w:r>
    </w:p>
    <w:p w:rsidR="001811EC" w:rsidRDefault="001811EC">
      <w:pPr>
        <w:pStyle w:val="Paragrafoelenco"/>
        <w:jc w:val="both"/>
        <w:rPr>
          <w:rFonts w:ascii="Arial" w:hAnsi="Arial" w:cs="Arial"/>
          <w:sz w:val="22"/>
          <w:szCs w:val="22"/>
        </w:rPr>
      </w:pPr>
    </w:p>
    <w:p w:rsidR="001811EC" w:rsidRDefault="001811EC">
      <w:pPr>
        <w:pStyle w:val="Titolo2"/>
      </w:pPr>
    </w:p>
    <w:p w:rsidR="001811EC" w:rsidRDefault="001811EC">
      <w:pPr>
        <w:pStyle w:val="Titolo2"/>
      </w:pPr>
    </w:p>
    <w:p w:rsidR="001811EC" w:rsidRDefault="002121F5">
      <w:pPr>
        <w:pStyle w:val="Titolo2"/>
      </w:pPr>
      <w:bookmarkStart w:id="62" w:name="_Toc469216209"/>
      <w:r>
        <w:t>B) SPESE</w:t>
      </w:r>
      <w:bookmarkEnd w:id="62"/>
      <w:r>
        <w:t xml:space="preserve"> </w:t>
      </w:r>
    </w:p>
    <w:p w:rsidR="001811EC" w:rsidRDefault="001811EC">
      <w:pPr>
        <w:pStyle w:val="Corpodeltesto2"/>
        <w:numPr>
          <w:ilvl w:val="12"/>
          <w:numId w:val="0"/>
        </w:numPr>
        <w:tabs>
          <w:tab w:val="clear" w:pos="426"/>
          <w:tab w:val="left" w:pos="708"/>
        </w:tabs>
        <w:jc w:val="both"/>
        <w:rPr>
          <w:sz w:val="20"/>
        </w:rPr>
      </w:pPr>
    </w:p>
    <w:p w:rsidR="001811EC" w:rsidRDefault="001811EC">
      <w:pPr>
        <w:jc w:val="both"/>
        <w:rPr>
          <w:rFonts w:ascii="Arial" w:hAnsi="Arial" w:cs="Arial"/>
          <w:sz w:val="22"/>
          <w:szCs w:val="22"/>
          <w:u w:val="single"/>
        </w:rPr>
      </w:pPr>
    </w:p>
    <w:p w:rsidR="001811EC" w:rsidRPr="00673CAC" w:rsidRDefault="002121F5">
      <w:pPr>
        <w:jc w:val="both"/>
        <w:rPr>
          <w:rFonts w:ascii="Arial" w:hAnsi="Arial" w:cs="Arial"/>
          <w:color w:val="00B0F0"/>
          <w:sz w:val="22"/>
          <w:szCs w:val="22"/>
          <w:highlight w:val="yellow"/>
          <w:u w:val="single"/>
        </w:rPr>
      </w:pPr>
      <w:r w:rsidRPr="00673CAC">
        <w:rPr>
          <w:rFonts w:ascii="Arial" w:hAnsi="Arial" w:cs="Arial"/>
          <w:sz w:val="22"/>
          <w:szCs w:val="22"/>
          <w:highlight w:val="yellow"/>
          <w:u w:val="single"/>
        </w:rPr>
        <w:t xml:space="preserve">Spesa per missioni e programmi </w:t>
      </w:r>
      <w:r w:rsidRPr="00673CAC">
        <w:rPr>
          <w:rFonts w:ascii="Arial" w:hAnsi="Arial" w:cs="Arial"/>
          <w:color w:val="00B0F0"/>
          <w:sz w:val="22"/>
          <w:szCs w:val="22"/>
          <w:highlight w:val="yellow"/>
          <w:u w:val="single"/>
        </w:rPr>
        <w:t>(eventuale)</w:t>
      </w:r>
    </w:p>
    <w:p w:rsidR="001811EC" w:rsidRDefault="002121F5">
      <w:pPr>
        <w:jc w:val="both"/>
        <w:rPr>
          <w:rFonts w:ascii="Arial" w:hAnsi="Arial" w:cs="Arial"/>
          <w:sz w:val="22"/>
          <w:szCs w:val="22"/>
        </w:rPr>
      </w:pPr>
      <w:r w:rsidRPr="00673CAC">
        <w:rPr>
          <w:rFonts w:ascii="Arial" w:hAnsi="Arial" w:cs="Arial"/>
          <w:sz w:val="22"/>
          <w:szCs w:val="22"/>
          <w:highlight w:val="yellow"/>
        </w:rPr>
        <w:t>La spesa per missioni e programmi è così prevista:</w:t>
      </w:r>
    </w:p>
    <w:bookmarkStart w:id="63" w:name="_MON_1542536169"/>
    <w:bookmarkEnd w:id="63"/>
    <w:p w:rsidR="001811EC" w:rsidRDefault="002121F5">
      <w:pPr>
        <w:jc w:val="both"/>
        <w:rPr>
          <w:rFonts w:ascii="Arial" w:hAnsi="Arial" w:cs="Arial"/>
          <w:sz w:val="22"/>
          <w:szCs w:val="22"/>
        </w:rPr>
      </w:pPr>
      <w:r w:rsidRPr="00673CAC">
        <w:rPr>
          <w:highlight w:val="yellow"/>
        </w:rPr>
        <w:object w:dxaOrig="10068" w:dyaOrig="14045">
          <v:shape id="_x0000_i1038" type="#_x0000_t75" style="width:7in;height:681.2pt" o:ole="">
            <v:imagedata r:id="rId132" o:title=""/>
          </v:shape>
          <o:OLEObject Type="Embed" ProgID="Excel.Sheet.12" ShapeID="_x0000_i1038" DrawAspect="Content" ObjectID="_1547620566" r:id="rId133"/>
        </w:object>
      </w:r>
    </w:p>
    <w:bookmarkStart w:id="64" w:name="_MON_1542725416"/>
    <w:bookmarkEnd w:id="64"/>
    <w:p w:rsidR="001811EC" w:rsidRDefault="002121F5">
      <w:pPr>
        <w:rPr>
          <w:rFonts w:ascii="Arial" w:hAnsi="Arial" w:cs="Arial"/>
        </w:rPr>
      </w:pPr>
      <w:r w:rsidRPr="00673CAC">
        <w:rPr>
          <w:highlight w:val="yellow"/>
        </w:rPr>
        <w:object w:dxaOrig="10068" w:dyaOrig="12504">
          <v:shape id="_x0000_i1039" type="#_x0000_t75" style="width:7in;height:606.4pt" o:ole="">
            <v:imagedata r:id="rId134" o:title=""/>
          </v:shape>
          <o:OLEObject Type="Embed" ProgID="Excel.Sheet.12" ShapeID="_x0000_i1039" DrawAspect="Content" ObjectID="_1547620567" r:id="rId135"/>
        </w:object>
      </w:r>
    </w:p>
    <w:p w:rsidR="001811EC" w:rsidRDefault="001811EC">
      <w:pPr>
        <w:rPr>
          <w:rFonts w:ascii="Arial" w:hAnsi="Arial" w:cs="Arial"/>
        </w:rPr>
      </w:pPr>
    </w:p>
    <w:p w:rsidR="001811EC" w:rsidRDefault="001811EC">
      <w:pPr>
        <w:rPr>
          <w:rFonts w:ascii="Arial" w:hAnsi="Arial" w:cs="Arial"/>
        </w:rPr>
      </w:pPr>
    </w:p>
    <w:p w:rsidR="001811EC" w:rsidRDefault="001811EC">
      <w:pPr>
        <w:rPr>
          <w:rFonts w:ascii="Arial" w:hAnsi="Arial" w:cs="Arial"/>
        </w:rPr>
      </w:pPr>
    </w:p>
    <w:p w:rsidR="001811EC" w:rsidRDefault="001811EC">
      <w:pPr>
        <w:rPr>
          <w:rFonts w:ascii="Arial" w:hAnsi="Arial" w:cs="Arial"/>
        </w:rPr>
      </w:pPr>
    </w:p>
    <w:p w:rsidR="001811EC" w:rsidRDefault="001811EC">
      <w:pPr>
        <w:rPr>
          <w:rFonts w:ascii="Arial" w:hAnsi="Arial" w:cs="Arial"/>
        </w:rPr>
      </w:pPr>
    </w:p>
    <w:bookmarkStart w:id="65" w:name="_MON_1542725473"/>
    <w:bookmarkEnd w:id="65"/>
    <w:p w:rsidR="001811EC" w:rsidRDefault="002121F5">
      <w:pPr>
        <w:rPr>
          <w:rFonts w:ascii="Arial" w:hAnsi="Arial" w:cs="Arial"/>
        </w:rPr>
      </w:pPr>
      <w:r w:rsidRPr="00673CAC">
        <w:rPr>
          <w:highlight w:val="yellow"/>
        </w:rPr>
        <w:object w:dxaOrig="10068" w:dyaOrig="12849">
          <v:shape id="_x0000_i1040" type="#_x0000_t75" style="width:7in;height:623.2pt" o:ole="">
            <v:imagedata r:id="rId136" o:title=""/>
          </v:shape>
          <o:OLEObject Type="Embed" ProgID="Excel.Sheet.12" ShapeID="_x0000_i1040" DrawAspect="Content" ObjectID="_1547620568" r:id="rId137"/>
        </w:object>
      </w:r>
    </w:p>
    <w:p w:rsidR="001811EC" w:rsidRDefault="001811EC">
      <w:pPr>
        <w:rPr>
          <w:rFonts w:ascii="Arial" w:hAnsi="Arial" w:cs="Arial"/>
        </w:rPr>
      </w:pPr>
    </w:p>
    <w:p w:rsidR="001811EC" w:rsidRDefault="001811EC">
      <w:pPr>
        <w:rPr>
          <w:rFonts w:ascii="Arial" w:hAnsi="Arial" w:cs="Arial"/>
        </w:rPr>
      </w:pPr>
    </w:p>
    <w:p w:rsidR="001811EC" w:rsidRDefault="001811EC">
      <w:pPr>
        <w:rPr>
          <w:rFonts w:ascii="Arial" w:hAnsi="Arial" w:cs="Arial"/>
        </w:rPr>
      </w:pPr>
    </w:p>
    <w:p w:rsidR="001811EC" w:rsidRDefault="001811EC">
      <w:pPr>
        <w:rPr>
          <w:rFonts w:ascii="Arial" w:hAnsi="Arial" w:cs="Arial"/>
        </w:rPr>
      </w:pPr>
    </w:p>
    <w:bookmarkStart w:id="66" w:name="_MON_1542725644"/>
    <w:bookmarkEnd w:id="66"/>
    <w:p w:rsidR="001811EC" w:rsidRDefault="002121F5">
      <w:pPr>
        <w:rPr>
          <w:rFonts w:ascii="Arial" w:hAnsi="Arial" w:cs="Arial"/>
        </w:rPr>
      </w:pPr>
      <w:r w:rsidRPr="00673CAC">
        <w:rPr>
          <w:highlight w:val="yellow"/>
        </w:rPr>
        <w:object w:dxaOrig="10068" w:dyaOrig="2237">
          <v:shape id="_x0000_i1041" type="#_x0000_t75" style="width:7in;height:108pt" o:ole="">
            <v:imagedata r:id="rId138" o:title=""/>
          </v:shape>
          <o:OLEObject Type="Embed" ProgID="Excel.Sheet.12" ShapeID="_x0000_i1041" DrawAspect="Content" ObjectID="_1547620569" r:id="rId139"/>
        </w:object>
      </w:r>
    </w:p>
    <w:p w:rsidR="001811EC" w:rsidRDefault="001811EC">
      <w:pPr>
        <w:rPr>
          <w:rFonts w:ascii="Arial" w:hAnsi="Arial" w:cs="Arial"/>
        </w:rPr>
      </w:pPr>
    </w:p>
    <w:p w:rsidR="00673CAC" w:rsidRDefault="00673CAC">
      <w:pPr>
        <w:rPr>
          <w:rFonts w:ascii="Arial" w:hAnsi="Arial" w:cs="Arial"/>
        </w:rPr>
      </w:pPr>
    </w:p>
    <w:p w:rsidR="001811EC" w:rsidRDefault="002121F5">
      <w:pPr>
        <w:pStyle w:val="Titolo2"/>
      </w:pPr>
      <w:bookmarkStart w:id="67" w:name="_Toc469216210"/>
      <w:r>
        <w:t>C) SPESE PER TITOLI E MACROAGGREGATI</w:t>
      </w:r>
      <w:bookmarkEnd w:id="60"/>
      <w:bookmarkEnd w:id="67"/>
    </w:p>
    <w:p w:rsidR="001811EC" w:rsidRDefault="001811EC">
      <w:pPr>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 xml:space="preserve">Le previsioni degli esercizi 2017-2019 per </w:t>
      </w:r>
      <w:proofErr w:type="spellStart"/>
      <w:r>
        <w:rPr>
          <w:rFonts w:ascii="Arial" w:hAnsi="Arial" w:cs="Arial"/>
          <w:sz w:val="22"/>
          <w:szCs w:val="22"/>
        </w:rPr>
        <w:t>macroaggregati</w:t>
      </w:r>
      <w:proofErr w:type="spellEnd"/>
      <w:r>
        <w:rPr>
          <w:rFonts w:ascii="Arial" w:hAnsi="Arial" w:cs="Arial"/>
          <w:sz w:val="22"/>
          <w:szCs w:val="22"/>
        </w:rPr>
        <w:t xml:space="preserve"> di spesa corrente confrontate con la spesa risultante dalla previsione definitiva 2016 è la seguente:</w:t>
      </w:r>
    </w:p>
    <w:p w:rsidR="001811EC" w:rsidRDefault="001811EC">
      <w:pPr>
        <w:rPr>
          <w:rFonts w:ascii="Arial" w:hAnsi="Arial" w:cs="Arial"/>
          <w:sz w:val="22"/>
          <w:szCs w:val="22"/>
        </w:rPr>
      </w:pPr>
    </w:p>
    <w:p w:rsidR="001811EC" w:rsidRDefault="002121F5">
      <w:pPr>
        <w:rPr>
          <w:rFonts w:ascii="Arial" w:hAnsi="Arial" w:cs="Arial"/>
          <w:sz w:val="22"/>
          <w:szCs w:val="22"/>
        </w:rPr>
      </w:pPr>
      <w:r>
        <w:rPr>
          <w:rFonts w:ascii="Arial" w:hAnsi="Arial" w:cs="Arial"/>
          <w:sz w:val="22"/>
          <w:szCs w:val="22"/>
        </w:rPr>
        <w:t>Sviluppo previsione per aggregati di spesa.</w:t>
      </w:r>
    </w:p>
    <w:p w:rsidR="001811EC" w:rsidRDefault="001811EC">
      <w:pPr>
        <w:spacing w:after="120"/>
        <w:jc w:val="both"/>
        <w:rPr>
          <w:rFonts w:ascii="Arial" w:hAnsi="Arial" w:cs="Arial"/>
          <w:b/>
          <w:i/>
          <w:color w:val="0000FF"/>
          <w:sz w:val="18"/>
          <w:szCs w:val="18"/>
        </w:rPr>
      </w:pPr>
      <w:bookmarkStart w:id="68" w:name="_MON_1513321737"/>
      <w:bookmarkEnd w:id="68"/>
    </w:p>
    <w:bookmarkStart w:id="69" w:name="_MON_1542706763"/>
    <w:bookmarkEnd w:id="69"/>
    <w:p w:rsidR="001811EC" w:rsidRDefault="002121F5">
      <w:pPr>
        <w:spacing w:after="120"/>
        <w:jc w:val="both"/>
        <w:rPr>
          <w:rFonts w:ascii="Arial" w:hAnsi="Arial" w:cs="Arial"/>
          <w:sz w:val="22"/>
          <w:szCs w:val="22"/>
        </w:rPr>
      </w:pPr>
      <w:r w:rsidRPr="00FF759A">
        <w:rPr>
          <w:rFonts w:ascii="Arial" w:hAnsi="Arial" w:cs="Arial"/>
          <w:sz w:val="22"/>
          <w:szCs w:val="22"/>
        </w:rPr>
        <w:object w:dxaOrig="9458" w:dyaOrig="3476">
          <v:shape id="_x0000_i1042" type="#_x0000_t75" style="width:473.15pt;height:173.45pt" o:ole="">
            <v:imagedata r:id="rId140" o:title=""/>
          </v:shape>
          <o:OLEObject Type="Embed" ProgID="Excel.Sheet.12" ShapeID="_x0000_i1042" DrawAspect="Content" ObjectID="_1547620570" r:id="rId141"/>
        </w:object>
      </w:r>
    </w:p>
    <w:p w:rsidR="001811EC" w:rsidRDefault="002121F5">
      <w:pPr>
        <w:pStyle w:val="Titolo3"/>
      </w:pPr>
      <w:bookmarkStart w:id="70" w:name="_Toc469216211"/>
      <w:r>
        <w:t>Spese di personale</w:t>
      </w:r>
      <w:bookmarkEnd w:id="70"/>
    </w:p>
    <w:p w:rsidR="001811EC" w:rsidRDefault="001811EC">
      <w:pPr>
        <w:tabs>
          <w:tab w:val="left" w:pos="720"/>
        </w:tabs>
        <w:rPr>
          <w:rFonts w:ascii="Arial" w:hAnsi="Arial" w:cs="Arial"/>
          <w:i/>
          <w:sz w:val="22"/>
          <w:szCs w:val="22"/>
        </w:rPr>
      </w:pPr>
    </w:p>
    <w:p w:rsidR="001811EC" w:rsidRDefault="002121F5">
      <w:pPr>
        <w:jc w:val="both"/>
        <w:rPr>
          <w:rFonts w:ascii="Arial" w:hAnsi="Arial" w:cs="Arial"/>
          <w:sz w:val="22"/>
          <w:szCs w:val="22"/>
        </w:rPr>
      </w:pPr>
      <w:r>
        <w:rPr>
          <w:rFonts w:ascii="Arial" w:hAnsi="Arial" w:cs="Arial"/>
          <w:sz w:val="22"/>
          <w:szCs w:val="22"/>
        </w:rPr>
        <w:t>La spesa per redditi di lavoro dipendente prevista per gli esercizi 2017-2019, tiene conto della programmazione del fabbisogno, del piano delle assunzioni e:</w:t>
      </w:r>
    </w:p>
    <w:p w:rsidR="001811EC" w:rsidRDefault="002121F5">
      <w:pPr>
        <w:numPr>
          <w:ilvl w:val="0"/>
          <w:numId w:val="17"/>
        </w:numPr>
        <w:tabs>
          <w:tab w:val="left" w:pos="360"/>
        </w:tabs>
        <w:spacing w:before="120"/>
        <w:jc w:val="both"/>
        <w:rPr>
          <w:rFonts w:ascii="Arial" w:hAnsi="Arial" w:cs="Arial"/>
          <w:sz w:val="22"/>
          <w:szCs w:val="22"/>
        </w:rPr>
      </w:pPr>
      <w:r>
        <w:rPr>
          <w:rFonts w:ascii="Arial" w:hAnsi="Arial" w:cs="Arial"/>
          <w:sz w:val="22"/>
          <w:szCs w:val="22"/>
        </w:rPr>
        <w:t>dei vincoli disposti dall’</w:t>
      </w:r>
      <w:hyperlink r:id="rId142" w:history="1">
        <w:r>
          <w:rPr>
            <w:rStyle w:val="Collegamentoipertestuale"/>
            <w:rFonts w:ascii="Arial" w:hAnsi="Arial" w:cs="Arial"/>
            <w:sz w:val="22"/>
            <w:szCs w:val="22"/>
          </w:rPr>
          <w:t>art. 3, comma 5 e 5 quater del D.L. 90/2014</w:t>
        </w:r>
      </w:hyperlink>
      <w:r>
        <w:rPr>
          <w:rFonts w:ascii="Arial" w:hAnsi="Arial" w:cs="Arial"/>
          <w:sz w:val="22"/>
          <w:szCs w:val="22"/>
        </w:rPr>
        <w:t xml:space="preserve">, del </w:t>
      </w:r>
      <w:hyperlink r:id="rId143" w:history="1">
        <w:r>
          <w:rPr>
            <w:rStyle w:val="Collegamentoipertestuale"/>
            <w:rFonts w:ascii="Arial" w:hAnsi="Arial" w:cs="Arial"/>
            <w:sz w:val="22"/>
            <w:szCs w:val="22"/>
          </w:rPr>
          <w:t>comma 228 della Legge 208/2015</w:t>
        </w:r>
      </w:hyperlink>
      <w:r>
        <w:rPr>
          <w:rFonts w:ascii="Arial" w:hAnsi="Arial" w:cs="Arial"/>
          <w:sz w:val="22"/>
          <w:szCs w:val="22"/>
        </w:rPr>
        <w:t xml:space="preserve"> e dell’</w:t>
      </w:r>
      <w:hyperlink r:id="rId144" w:history="1">
        <w:r>
          <w:rPr>
            <w:rStyle w:val="Collegamentoipertestuale"/>
            <w:rFonts w:ascii="Arial" w:hAnsi="Arial" w:cs="Arial"/>
            <w:sz w:val="22"/>
            <w:szCs w:val="22"/>
          </w:rPr>
          <w:t>art.16 comma 1 bis del D.L. 113/2016</w:t>
        </w:r>
      </w:hyperlink>
      <w:r>
        <w:rPr>
          <w:rFonts w:ascii="Arial" w:hAnsi="Arial" w:cs="Arial"/>
          <w:sz w:val="22"/>
          <w:szCs w:val="22"/>
        </w:rPr>
        <w:t xml:space="preserve">, sulle assunzioni di personale a tempo indeterminato per gli enti soggetti al pareggio di bilancio e al </w:t>
      </w:r>
      <w:hyperlink r:id="rId145" w:history="1">
        <w:r>
          <w:rPr>
            <w:rStyle w:val="Collegamentoipertestuale"/>
            <w:rFonts w:ascii="Arial" w:hAnsi="Arial" w:cs="Arial"/>
            <w:sz w:val="22"/>
            <w:szCs w:val="22"/>
          </w:rPr>
          <w:t>comma 762 della Legge 208/2015</w:t>
        </w:r>
      </w:hyperlink>
      <w:r>
        <w:rPr>
          <w:rFonts w:ascii="Arial" w:hAnsi="Arial" w:cs="Arial"/>
          <w:sz w:val="22"/>
          <w:szCs w:val="22"/>
        </w:rPr>
        <w:t xml:space="preserve">, </w:t>
      </w:r>
      <w:hyperlink r:id="rId146" w:history="1">
        <w:r>
          <w:rPr>
            <w:rStyle w:val="Collegamentoipertestuale"/>
            <w:rFonts w:ascii="Arial" w:hAnsi="Arial" w:cs="Arial"/>
            <w:sz w:val="22"/>
            <w:szCs w:val="22"/>
          </w:rPr>
          <w:t>comma 562 della Legge 296/2006</w:t>
        </w:r>
      </w:hyperlink>
      <w:r>
        <w:rPr>
          <w:rFonts w:ascii="Arial" w:hAnsi="Arial" w:cs="Arial"/>
          <w:sz w:val="22"/>
          <w:szCs w:val="22"/>
        </w:rPr>
        <w:t xml:space="preserve"> per gli enti che nel 2015 non erano assoggettati al patto di stabilità;</w:t>
      </w:r>
    </w:p>
    <w:p w:rsidR="001811EC" w:rsidRDefault="002121F5">
      <w:pPr>
        <w:numPr>
          <w:ilvl w:val="0"/>
          <w:numId w:val="17"/>
        </w:numPr>
        <w:tabs>
          <w:tab w:val="left" w:pos="360"/>
        </w:tabs>
        <w:spacing w:before="120"/>
        <w:jc w:val="both"/>
        <w:rPr>
          <w:rFonts w:ascii="Arial" w:hAnsi="Arial" w:cs="Arial"/>
          <w:sz w:val="22"/>
          <w:szCs w:val="22"/>
        </w:rPr>
      </w:pPr>
      <w:r>
        <w:rPr>
          <w:rFonts w:ascii="Arial" w:hAnsi="Arial" w:cs="Arial"/>
          <w:sz w:val="22"/>
          <w:szCs w:val="22"/>
        </w:rPr>
        <w:t>dei vincoli disposti dall’</w:t>
      </w:r>
      <w:hyperlink r:id="rId147" w:history="1">
        <w:r>
          <w:rPr>
            <w:rStyle w:val="Collegamentoipertestuale"/>
            <w:rFonts w:ascii="Arial" w:hAnsi="Arial" w:cs="Arial"/>
            <w:sz w:val="22"/>
            <w:szCs w:val="22"/>
          </w:rPr>
          <w:t>art. 9, comma 28 del D.L. 78/2010</w:t>
        </w:r>
      </w:hyperlink>
      <w:r>
        <w:rPr>
          <w:rFonts w:ascii="Arial" w:hAnsi="Arial" w:cs="Arial"/>
          <w:sz w:val="22"/>
          <w:szCs w:val="22"/>
        </w:rPr>
        <w:t xml:space="preserve"> sulla spesa per personale a tempo determinato, con convenzioni o con contratti di collaborazione coordinata e continuativa; che obbligano a non superare la spesa dell’anno 2009 di euro ………………..;</w:t>
      </w:r>
    </w:p>
    <w:p w:rsidR="001811EC" w:rsidRDefault="002121F5">
      <w:pPr>
        <w:numPr>
          <w:ilvl w:val="0"/>
          <w:numId w:val="17"/>
        </w:numPr>
        <w:tabs>
          <w:tab w:val="left" w:pos="360"/>
        </w:tabs>
        <w:spacing w:before="120"/>
        <w:jc w:val="both"/>
        <w:rPr>
          <w:rFonts w:ascii="Arial" w:hAnsi="Arial" w:cs="Arial"/>
          <w:sz w:val="22"/>
          <w:szCs w:val="22"/>
        </w:rPr>
      </w:pPr>
      <w:r>
        <w:rPr>
          <w:rFonts w:ascii="Arial" w:hAnsi="Arial" w:cs="Arial"/>
          <w:sz w:val="22"/>
          <w:szCs w:val="22"/>
        </w:rPr>
        <w:t xml:space="preserve">dell’obbligo di riduzione della spesa di personale disposto dall’art. 1 comma 557 della </w:t>
      </w:r>
      <w:hyperlink r:id="rId148" w:history="1">
        <w:r>
          <w:rPr>
            <w:rStyle w:val="Collegamentoipertestuale"/>
            <w:rFonts w:ascii="Arial" w:hAnsi="Arial" w:cs="Arial"/>
            <w:sz w:val="22"/>
            <w:szCs w:val="22"/>
          </w:rPr>
          <w:t>Legge 296/2006</w:t>
        </w:r>
      </w:hyperlink>
      <w:r>
        <w:rPr>
          <w:rFonts w:ascii="Arial" w:hAnsi="Arial" w:cs="Arial"/>
          <w:sz w:val="22"/>
          <w:szCs w:val="22"/>
        </w:rPr>
        <w:t xml:space="preserve"> rispetto a valore medio del triennio 2011/2013 che risulta di euro ……………….;</w:t>
      </w:r>
    </w:p>
    <w:p w:rsidR="001811EC" w:rsidRPr="00673CAC" w:rsidRDefault="002121F5">
      <w:pPr>
        <w:numPr>
          <w:ilvl w:val="0"/>
          <w:numId w:val="17"/>
        </w:numPr>
        <w:tabs>
          <w:tab w:val="left" w:pos="360"/>
        </w:tabs>
        <w:spacing w:before="120"/>
        <w:jc w:val="both"/>
        <w:rPr>
          <w:rFonts w:ascii="Arial" w:hAnsi="Arial" w:cs="Arial"/>
          <w:sz w:val="22"/>
          <w:szCs w:val="22"/>
          <w:highlight w:val="yellow"/>
        </w:rPr>
      </w:pPr>
      <w:r w:rsidRPr="00673CAC">
        <w:rPr>
          <w:rFonts w:ascii="Arial" w:hAnsi="Arial" w:cs="Arial"/>
          <w:sz w:val="22"/>
          <w:szCs w:val="22"/>
          <w:highlight w:val="yellow"/>
        </w:rPr>
        <w:t xml:space="preserve">del limite di spesa per la contrattazione integrativa disposto dal </w:t>
      </w:r>
      <w:hyperlink r:id="rId149" w:history="1">
        <w:r w:rsidRPr="00673CAC">
          <w:rPr>
            <w:rStyle w:val="Collegamentoipertestuale"/>
            <w:rFonts w:ascii="Arial" w:hAnsi="Arial" w:cs="Arial"/>
            <w:sz w:val="22"/>
            <w:szCs w:val="22"/>
            <w:highlight w:val="yellow"/>
          </w:rPr>
          <w:t>comma 236 della Legge 208/2015</w:t>
        </w:r>
      </w:hyperlink>
      <w:r w:rsidRPr="00673CAC">
        <w:rPr>
          <w:rFonts w:ascii="Arial" w:hAnsi="Arial" w:cs="Arial"/>
          <w:sz w:val="22"/>
          <w:szCs w:val="22"/>
          <w:highlight w:val="yellow"/>
        </w:rPr>
        <w:t>.</w:t>
      </w:r>
    </w:p>
    <w:p w:rsidR="001811EC" w:rsidRDefault="002121F5">
      <w:pPr>
        <w:tabs>
          <w:tab w:val="left" w:pos="360"/>
        </w:tabs>
        <w:spacing w:before="120"/>
        <w:jc w:val="both"/>
        <w:rPr>
          <w:rFonts w:ascii="Arial" w:hAnsi="Arial" w:cs="Arial"/>
          <w:sz w:val="22"/>
          <w:szCs w:val="22"/>
        </w:rPr>
      </w:pPr>
      <w:r w:rsidRPr="00673CAC">
        <w:rPr>
          <w:rFonts w:ascii="Arial" w:hAnsi="Arial" w:cs="Arial"/>
          <w:sz w:val="22"/>
          <w:szCs w:val="22"/>
          <w:highlight w:val="yellow"/>
        </w:rPr>
        <w:lastRenderedPageBreak/>
        <w:t>L’ente non è soggetto al blocco delle assunzioni in quanto ha rispettato i tempi medi di pagamento di cui all’</w:t>
      </w:r>
      <w:hyperlink r:id="rId150" w:history="1">
        <w:r w:rsidRPr="00673CAC">
          <w:rPr>
            <w:rStyle w:val="Collegamentoipertestuale"/>
            <w:rFonts w:ascii="Arial" w:hAnsi="Arial" w:cs="Arial"/>
            <w:sz w:val="22"/>
            <w:szCs w:val="22"/>
            <w:highlight w:val="yellow"/>
          </w:rPr>
          <w:t>art. 42, comma 2 del D.L. 66/2014</w:t>
        </w:r>
      </w:hyperlink>
      <w:r w:rsidRPr="00673CAC">
        <w:rPr>
          <w:rFonts w:ascii="Arial" w:hAnsi="Arial" w:cs="Arial"/>
          <w:sz w:val="22"/>
          <w:szCs w:val="22"/>
          <w:highlight w:val="yellow"/>
        </w:rPr>
        <w:t xml:space="preserve"> e ha adottato il piano delle performance di cui all’</w:t>
      </w:r>
      <w:hyperlink r:id="rId151" w:history="1">
        <w:r w:rsidRPr="00673CAC">
          <w:rPr>
            <w:rStyle w:val="Collegamentoipertestuale"/>
            <w:rFonts w:ascii="Arial" w:hAnsi="Arial" w:cs="Arial"/>
            <w:sz w:val="22"/>
            <w:szCs w:val="22"/>
            <w:highlight w:val="yellow"/>
          </w:rPr>
          <w:t>art.10 del D.Lgs.150/2009</w:t>
        </w:r>
      </w:hyperlink>
      <w:r w:rsidRPr="00673CAC">
        <w:rPr>
          <w:rFonts w:ascii="Arial" w:hAnsi="Arial" w:cs="Arial"/>
          <w:sz w:val="22"/>
          <w:szCs w:val="22"/>
          <w:highlight w:val="yellow"/>
        </w:rPr>
        <w:t>.</w:t>
      </w:r>
    </w:p>
    <w:p w:rsidR="001811EC" w:rsidRDefault="002121F5">
      <w:pPr>
        <w:pStyle w:val="Corpodeltesto21"/>
        <w:spacing w:before="120" w:after="0"/>
        <w:rPr>
          <w:rFonts w:cs="Arial"/>
          <w:b w:val="0"/>
          <w:i w:val="0"/>
          <w:sz w:val="22"/>
          <w:szCs w:val="22"/>
        </w:rPr>
      </w:pPr>
      <w:r>
        <w:rPr>
          <w:rFonts w:cs="Arial"/>
          <w:b w:val="0"/>
          <w:i w:val="0"/>
          <w:sz w:val="22"/>
          <w:szCs w:val="22"/>
        </w:rPr>
        <w:t>L’organo di revisione ha provveduto con verbale n……. in data ……….., ai sensi dell’</w:t>
      </w:r>
      <w:hyperlink r:id="rId152" w:history="1">
        <w:r>
          <w:rPr>
            <w:rStyle w:val="Collegamentoipertestuale"/>
            <w:rFonts w:cs="Arial"/>
            <w:b w:val="0"/>
            <w:i w:val="0"/>
            <w:sz w:val="22"/>
            <w:szCs w:val="22"/>
          </w:rPr>
          <w:t>articolo 19, punto 8, della Legge 448/2001</w:t>
        </w:r>
      </w:hyperlink>
      <w:r>
        <w:rPr>
          <w:rFonts w:cs="Arial"/>
          <w:b w:val="0"/>
          <w:i w:val="0"/>
          <w:sz w:val="22"/>
          <w:szCs w:val="22"/>
        </w:rPr>
        <w:t>, ad accertare che i documenti di programmazione del fabbisogno di personale siano improntati al rispetto del principio di riduzione complessiva della spesa, previsto dall’</w:t>
      </w:r>
      <w:hyperlink r:id="rId153" w:history="1">
        <w:r>
          <w:rPr>
            <w:rStyle w:val="Collegamentoipertestuale"/>
            <w:rFonts w:cs="Arial"/>
            <w:b w:val="0"/>
            <w:i w:val="0"/>
            <w:sz w:val="22"/>
            <w:szCs w:val="22"/>
          </w:rPr>
          <w:t>articolo 39 della Legge n. 449/1997</w:t>
        </w:r>
      </w:hyperlink>
      <w:r>
        <w:rPr>
          <w:rFonts w:cs="Arial"/>
          <w:b w:val="0"/>
          <w:i w:val="0"/>
          <w:sz w:val="22"/>
          <w:szCs w:val="22"/>
        </w:rPr>
        <w:t>.</w:t>
      </w:r>
    </w:p>
    <w:p w:rsidR="001811EC" w:rsidRDefault="001811EC">
      <w:pPr>
        <w:rPr>
          <w:rFonts w:ascii="Arial" w:hAnsi="Arial" w:cs="Arial"/>
          <w:sz w:val="22"/>
          <w:szCs w:val="22"/>
        </w:rPr>
      </w:pPr>
    </w:p>
    <w:p w:rsidR="001811EC" w:rsidRDefault="002121F5">
      <w:pPr>
        <w:rPr>
          <w:rFonts w:ascii="Arial" w:hAnsi="Arial" w:cs="Arial"/>
          <w:sz w:val="22"/>
          <w:szCs w:val="22"/>
        </w:rPr>
      </w:pPr>
      <w:r>
        <w:rPr>
          <w:rFonts w:ascii="Arial" w:hAnsi="Arial" w:cs="Arial"/>
          <w:sz w:val="22"/>
          <w:szCs w:val="22"/>
        </w:rPr>
        <w:t xml:space="preserve">Tali spese sono così distinte ed hanno la seguente incidenza: </w:t>
      </w:r>
    </w:p>
    <w:p w:rsidR="001811EC" w:rsidRDefault="001811EC">
      <w:pPr>
        <w:rPr>
          <w:rFonts w:ascii="Arial" w:hAnsi="Arial" w:cs="Arial"/>
          <w:sz w:val="22"/>
          <w:szCs w:val="22"/>
        </w:rPr>
      </w:pPr>
    </w:p>
    <w:bookmarkStart w:id="71" w:name="_MON_1513321424"/>
    <w:bookmarkEnd w:id="71"/>
    <w:p w:rsidR="001811EC" w:rsidRDefault="002121F5">
      <w:pPr>
        <w:rPr>
          <w:rFonts w:ascii="Arial" w:hAnsi="Arial" w:cs="Arial"/>
          <w:sz w:val="22"/>
          <w:szCs w:val="22"/>
        </w:rPr>
      </w:pPr>
      <w:r w:rsidRPr="00FF759A">
        <w:rPr>
          <w:rFonts w:ascii="Arial" w:hAnsi="Arial" w:cs="Arial"/>
          <w:sz w:val="22"/>
          <w:szCs w:val="22"/>
        </w:rPr>
        <w:object w:dxaOrig="10062" w:dyaOrig="4109">
          <v:shape id="_x0000_i1043" type="#_x0000_t75" style="width:502.6pt;height:205.25pt" o:ole="">
            <v:imagedata r:id="rId154" o:title=""/>
          </v:shape>
          <o:OLEObject Type="Embed" ProgID="Excel.Sheet.12" ShapeID="_x0000_i1043" DrawAspect="Content" ObjectID="_1547620571" r:id="rId155"/>
        </w:object>
      </w:r>
    </w:p>
    <w:p w:rsidR="001811EC" w:rsidRDefault="002121F5">
      <w:pPr>
        <w:jc w:val="both"/>
        <w:rPr>
          <w:rFonts w:ascii="Arial" w:hAnsi="Arial" w:cs="Arial"/>
          <w:b/>
          <w:i/>
          <w:sz w:val="22"/>
          <w:szCs w:val="22"/>
        </w:rPr>
      </w:pPr>
      <w:r>
        <w:rPr>
          <w:rFonts w:ascii="Arial" w:hAnsi="Arial" w:cs="Arial"/>
          <w:sz w:val="22"/>
          <w:szCs w:val="22"/>
        </w:rPr>
        <w:t>La previsione per gli anni 2017, 2018 e 2019 è inferiore alla spesa media del triennio 2011/2013 (</w:t>
      </w:r>
      <w:r>
        <w:rPr>
          <w:rFonts w:ascii="Arial" w:hAnsi="Arial" w:cs="Arial"/>
          <w:i/>
          <w:sz w:val="22"/>
          <w:szCs w:val="22"/>
        </w:rPr>
        <w:t xml:space="preserve">o all’anno 2008 per gli enti che nel 2015 non erano soggetti al patto) </w:t>
      </w:r>
      <w:r>
        <w:rPr>
          <w:rFonts w:ascii="Arial" w:hAnsi="Arial" w:cs="Arial"/>
          <w:sz w:val="22"/>
          <w:szCs w:val="22"/>
        </w:rPr>
        <w:t>che era pari a euro</w:t>
      </w:r>
      <w:r>
        <w:rPr>
          <w:rFonts w:ascii="Arial" w:hAnsi="Arial" w:cs="Arial"/>
          <w:i/>
          <w:sz w:val="22"/>
          <w:szCs w:val="22"/>
        </w:rPr>
        <w:t>……………….</w:t>
      </w:r>
    </w:p>
    <w:p w:rsidR="001811EC" w:rsidRDefault="001811EC">
      <w:pPr>
        <w:rPr>
          <w:rFonts w:ascii="Arial" w:hAnsi="Arial" w:cs="Arial"/>
          <w:i/>
          <w:sz w:val="16"/>
          <w:szCs w:val="16"/>
        </w:rPr>
      </w:pPr>
    </w:p>
    <w:p w:rsidR="001811EC" w:rsidRDefault="002121F5">
      <w:pPr>
        <w:pStyle w:val="Titolo3"/>
      </w:pPr>
      <w:bookmarkStart w:id="72" w:name="_Toc469216212"/>
      <w:r>
        <w:t>Spese per incarichi di collaborazione autonoma (</w:t>
      </w:r>
      <w:hyperlink r:id="rId156" w:history="1">
        <w:r>
          <w:rPr>
            <w:rStyle w:val="Collegamentoipertestuale"/>
            <w:rFonts w:cs="Arial"/>
          </w:rPr>
          <w:t>art. 46 D.L. 25 giugno 2008, n. 112</w:t>
        </w:r>
      </w:hyperlink>
      <w:r>
        <w:t xml:space="preserve"> – </w:t>
      </w:r>
      <w:proofErr w:type="spellStart"/>
      <w:r>
        <w:t>conv</w:t>
      </w:r>
      <w:proofErr w:type="spellEnd"/>
      <w:r>
        <w:t xml:space="preserve">. nella </w:t>
      </w:r>
      <w:hyperlink r:id="rId157" w:history="1">
        <w:r>
          <w:rPr>
            <w:rStyle w:val="Collegamentoipertestuale"/>
            <w:rFonts w:cs="Arial"/>
          </w:rPr>
          <w:t>Legge 133/2008</w:t>
        </w:r>
      </w:hyperlink>
      <w:r>
        <w:t>)</w:t>
      </w:r>
      <w:bookmarkEnd w:id="72"/>
    </w:p>
    <w:p w:rsidR="001811EC" w:rsidRDefault="001811EC"/>
    <w:p w:rsidR="001811EC" w:rsidRDefault="002121F5">
      <w:pPr>
        <w:jc w:val="both"/>
        <w:rPr>
          <w:rFonts w:ascii="Arial" w:hAnsi="Arial" w:cs="Arial"/>
          <w:i/>
          <w:sz w:val="18"/>
          <w:szCs w:val="18"/>
        </w:rPr>
      </w:pPr>
      <w:r>
        <w:rPr>
          <w:rFonts w:ascii="Arial" w:hAnsi="Arial" w:cs="Arial"/>
          <w:sz w:val="22"/>
          <w:szCs w:val="22"/>
        </w:rPr>
        <w:t>Il limite massimo previsto in bilancio per incarichi di collaborazione autonoma è previsto per gli anni 2017-2019 è di euro ………... I contratti di collaborazione potranno essere stipulati con riferimento alle attività istituzionali stabilite dalla Legge e con riferimento al programma sottoposto all’approvazione del Consiglio</w:t>
      </w:r>
      <w:r>
        <w:rPr>
          <w:rFonts w:ascii="Arial" w:hAnsi="Arial" w:cs="Arial"/>
          <w:i/>
          <w:sz w:val="18"/>
          <w:szCs w:val="18"/>
        </w:rPr>
        <w:t>.</w:t>
      </w:r>
    </w:p>
    <w:p w:rsidR="001811EC" w:rsidRDefault="002121F5">
      <w:pPr>
        <w:jc w:val="both"/>
        <w:rPr>
          <w:rFonts w:ascii="Arial" w:hAnsi="Arial" w:cs="Arial"/>
          <w:sz w:val="22"/>
          <w:szCs w:val="22"/>
        </w:rPr>
      </w:pPr>
      <w:r>
        <w:rPr>
          <w:rFonts w:ascii="Arial" w:hAnsi="Arial" w:cs="Arial"/>
          <w:sz w:val="22"/>
          <w:szCs w:val="22"/>
        </w:rPr>
        <w:t>L’ente ha provveduto all’aggiornamento del regolamento per gli incarichi di collaborazione autonoma sulla base delle disposizioni introdotte dall’</w:t>
      </w:r>
      <w:hyperlink r:id="rId158" w:history="1">
        <w:r>
          <w:rPr>
            <w:rStyle w:val="Collegamentoipertestuale"/>
            <w:rFonts w:ascii="Arial" w:hAnsi="Arial" w:cs="Arial"/>
            <w:sz w:val="22"/>
            <w:szCs w:val="22"/>
          </w:rPr>
          <w:t>art. 46 del D.L. 25 giugno 2008 n. 112</w:t>
        </w:r>
      </w:hyperlink>
      <w:r>
        <w:rPr>
          <w:rFonts w:ascii="Arial" w:hAnsi="Arial" w:cs="Arial"/>
          <w:sz w:val="22"/>
          <w:szCs w:val="22"/>
        </w:rPr>
        <w:t>, ed a trasmetterlo entro 30 giorni alla Sezione regionale di controllo della Corte dei Conti.</w:t>
      </w:r>
    </w:p>
    <w:p w:rsidR="001811EC" w:rsidRDefault="002121F5">
      <w:pPr>
        <w:jc w:val="both"/>
        <w:rPr>
          <w:rFonts w:ascii="Arial" w:hAnsi="Arial" w:cs="Arial"/>
          <w:sz w:val="22"/>
          <w:szCs w:val="22"/>
        </w:rPr>
      </w:pPr>
      <w:r>
        <w:rPr>
          <w:rFonts w:ascii="Arial" w:hAnsi="Arial" w:cs="Arial"/>
          <w:sz w:val="22"/>
          <w:szCs w:val="22"/>
        </w:rPr>
        <w:t xml:space="preserve">L’ente pubblica regolarmente nel sito istituzionale i provvedimenti di incarico con l’indicazione dei soggetti percettori, della ragione dell’incarico e del compenso. </w:t>
      </w:r>
    </w:p>
    <w:p w:rsidR="00567263" w:rsidRDefault="00567263">
      <w:pPr>
        <w:jc w:val="both"/>
        <w:rPr>
          <w:rFonts w:ascii="Arial" w:hAnsi="Arial" w:cs="Arial"/>
          <w:sz w:val="22"/>
          <w:szCs w:val="22"/>
        </w:rPr>
      </w:pPr>
    </w:p>
    <w:p w:rsidR="003078A1" w:rsidRPr="00673CAC" w:rsidRDefault="00567263">
      <w:pPr>
        <w:jc w:val="both"/>
        <w:rPr>
          <w:rFonts w:ascii="Arial" w:hAnsi="Arial" w:cs="Arial"/>
          <w:b/>
          <w:sz w:val="22"/>
          <w:szCs w:val="22"/>
          <w:highlight w:val="yellow"/>
          <w:u w:val="single"/>
        </w:rPr>
      </w:pPr>
      <w:r w:rsidRPr="00673CAC">
        <w:rPr>
          <w:rFonts w:ascii="Arial" w:hAnsi="Arial" w:cs="Arial"/>
          <w:b/>
          <w:sz w:val="22"/>
          <w:szCs w:val="22"/>
          <w:highlight w:val="yellow"/>
          <w:u w:val="single"/>
        </w:rPr>
        <w:t>Spese per organi di indirizzo, direzione e controllo (art.6, comma 3 del D.L. 78/2010)</w:t>
      </w:r>
    </w:p>
    <w:p w:rsidR="003078A1" w:rsidRPr="00673CAC" w:rsidRDefault="003078A1">
      <w:pPr>
        <w:jc w:val="both"/>
        <w:rPr>
          <w:rFonts w:ascii="Arial" w:hAnsi="Arial" w:cs="Arial"/>
          <w:b/>
          <w:sz w:val="22"/>
          <w:szCs w:val="22"/>
          <w:highlight w:val="yellow"/>
          <w:u w:val="single"/>
        </w:rPr>
      </w:pPr>
    </w:p>
    <w:p w:rsidR="007736B0" w:rsidRPr="00673CAC" w:rsidRDefault="007736B0">
      <w:pPr>
        <w:jc w:val="both"/>
        <w:rPr>
          <w:rFonts w:ascii="Arial" w:hAnsi="Arial" w:cs="Arial"/>
          <w:sz w:val="22"/>
          <w:szCs w:val="22"/>
          <w:highlight w:val="yellow"/>
        </w:rPr>
      </w:pPr>
      <w:r w:rsidRPr="00673CAC">
        <w:rPr>
          <w:rFonts w:ascii="Arial" w:hAnsi="Arial" w:cs="Arial"/>
          <w:sz w:val="22"/>
          <w:szCs w:val="22"/>
          <w:highlight w:val="yellow"/>
        </w:rPr>
        <w:t>Nelle previsioni l’ente ha tenuto conto della riduzione disposta dall’</w:t>
      </w:r>
      <w:hyperlink r:id="rId159" w:history="1">
        <w:r w:rsidRPr="00673CAC">
          <w:rPr>
            <w:rStyle w:val="Collegamentoipertestuale"/>
            <w:rFonts w:ascii="Arial" w:hAnsi="Arial" w:cs="Arial"/>
            <w:sz w:val="22"/>
            <w:szCs w:val="22"/>
            <w:highlight w:val="yellow"/>
          </w:rPr>
          <w:t xml:space="preserve">art.6, comma 3 del </w:t>
        </w:r>
        <w:proofErr w:type="spellStart"/>
        <w:r w:rsidRPr="00673CAC">
          <w:rPr>
            <w:rStyle w:val="Collegamentoipertestuale"/>
            <w:rFonts w:ascii="Arial" w:hAnsi="Arial" w:cs="Arial"/>
            <w:sz w:val="22"/>
            <w:szCs w:val="22"/>
            <w:highlight w:val="yellow"/>
          </w:rPr>
          <w:t>D.l.</w:t>
        </w:r>
        <w:proofErr w:type="spellEnd"/>
        <w:r w:rsidRPr="00673CAC">
          <w:rPr>
            <w:rStyle w:val="Collegamentoipertestuale"/>
            <w:rFonts w:ascii="Arial" w:hAnsi="Arial" w:cs="Arial"/>
            <w:sz w:val="22"/>
            <w:szCs w:val="22"/>
            <w:highlight w:val="yellow"/>
          </w:rPr>
          <w:t xml:space="preserve"> 78/2010</w:t>
        </w:r>
      </w:hyperlink>
      <w:r w:rsidRPr="00673CAC">
        <w:rPr>
          <w:rFonts w:ascii="Arial" w:hAnsi="Arial" w:cs="Arial"/>
          <w:sz w:val="22"/>
          <w:szCs w:val="22"/>
          <w:highlight w:val="yellow"/>
        </w:rPr>
        <w:t>.</w:t>
      </w:r>
    </w:p>
    <w:p w:rsidR="00567263" w:rsidRPr="00A608DA" w:rsidRDefault="007736B0">
      <w:pPr>
        <w:jc w:val="both"/>
        <w:rPr>
          <w:rFonts w:ascii="Arial" w:hAnsi="Arial" w:cs="Arial"/>
          <w:i/>
          <w:sz w:val="20"/>
          <w:szCs w:val="18"/>
        </w:rPr>
      </w:pPr>
      <w:r w:rsidRPr="00673CAC">
        <w:rPr>
          <w:rFonts w:ascii="Arial" w:hAnsi="Arial" w:cs="Arial"/>
          <w:i/>
          <w:sz w:val="22"/>
          <w:szCs w:val="22"/>
          <w:highlight w:val="yellow"/>
        </w:rPr>
        <w:t>(</w:t>
      </w:r>
      <w:r w:rsidR="00567263" w:rsidRPr="00673CAC">
        <w:rPr>
          <w:rFonts w:ascii="Arial" w:hAnsi="Arial" w:cs="Arial"/>
          <w:i/>
          <w:sz w:val="22"/>
          <w:szCs w:val="22"/>
          <w:highlight w:val="yellow"/>
        </w:rPr>
        <w:t>L’</w:t>
      </w:r>
      <w:hyperlink r:id="rId160" w:history="1">
        <w:r w:rsidR="00567263" w:rsidRPr="00673CAC">
          <w:rPr>
            <w:rStyle w:val="Collegamentoipertestuale"/>
            <w:rFonts w:ascii="Arial" w:hAnsi="Arial" w:cs="Arial"/>
            <w:i/>
            <w:color w:val="auto"/>
            <w:sz w:val="22"/>
            <w:szCs w:val="22"/>
            <w:highlight w:val="yellow"/>
          </w:rPr>
          <w:t>art.13</w:t>
        </w:r>
        <w:r w:rsidRPr="00673CAC">
          <w:rPr>
            <w:rStyle w:val="Collegamentoipertestuale"/>
            <w:rFonts w:ascii="Arial" w:hAnsi="Arial" w:cs="Arial"/>
            <w:i/>
            <w:color w:val="auto"/>
            <w:sz w:val="22"/>
            <w:szCs w:val="22"/>
            <w:highlight w:val="yellow"/>
          </w:rPr>
          <w:t>, comma 1 del D.L. 30/12/2016 n.244</w:t>
        </w:r>
      </w:hyperlink>
      <w:r w:rsidRPr="00673CAC">
        <w:rPr>
          <w:rFonts w:ascii="Arial" w:hAnsi="Arial" w:cs="Arial"/>
          <w:i/>
          <w:sz w:val="22"/>
          <w:szCs w:val="22"/>
          <w:highlight w:val="yellow"/>
        </w:rPr>
        <w:t xml:space="preserve"> ha prorogato al 31/12/2017 la riduzione del 10% rispetto agli importi risultanti alla data del 30/4/2010 le indennità, i compensi, i gettoni, le retribuzioni o altre utilità comunque denominate corrisposte ai componenti di organi di indirizzo, direzione e controllo, consigli di amministrazione e organi collegiali comunque denominati e ai titolari di incarichi di qualsiasi tipo</w:t>
      </w:r>
      <w:r w:rsidR="003078A1" w:rsidRPr="00673CAC">
        <w:rPr>
          <w:rFonts w:ascii="Arial" w:hAnsi="Arial" w:cs="Arial"/>
          <w:i/>
          <w:sz w:val="22"/>
          <w:szCs w:val="22"/>
          <w:highlight w:val="yellow"/>
        </w:rPr>
        <w:t>).</w:t>
      </w:r>
    </w:p>
    <w:p w:rsidR="001811EC" w:rsidRDefault="001811EC">
      <w:pPr>
        <w:pStyle w:val="Titolo3"/>
      </w:pPr>
    </w:p>
    <w:p w:rsidR="001811EC" w:rsidRDefault="002121F5">
      <w:pPr>
        <w:pStyle w:val="Titolo3"/>
      </w:pPr>
      <w:bookmarkStart w:id="73" w:name="_Toc469216213"/>
      <w:r>
        <w:t>Spese per acquisto beni e servizi</w:t>
      </w:r>
      <w:bookmarkEnd w:id="73"/>
    </w:p>
    <w:p w:rsidR="003078A1" w:rsidRPr="003078A1" w:rsidRDefault="003078A1" w:rsidP="003078A1"/>
    <w:p w:rsidR="001811EC" w:rsidRDefault="002121F5">
      <w:pPr>
        <w:pStyle w:val="Corpodeltesto3"/>
        <w:spacing w:before="120"/>
        <w:rPr>
          <w:rFonts w:cs="Arial"/>
          <w:sz w:val="22"/>
          <w:szCs w:val="22"/>
        </w:rPr>
      </w:pPr>
      <w:r>
        <w:rPr>
          <w:rFonts w:cs="Arial"/>
          <w:sz w:val="22"/>
          <w:szCs w:val="22"/>
        </w:rPr>
        <w:t xml:space="preserve">La previsione di spesa tiene conto dei vincoli posti dal saldo di finanza pubblica, dal piano triennale di contenimento delle spese di cui all’art. 2, commi da 594 a 599 della </w:t>
      </w:r>
      <w:hyperlink r:id="rId161" w:history="1">
        <w:r>
          <w:rPr>
            <w:rStyle w:val="Collegamentoipertestuale"/>
            <w:rFonts w:cs="Arial"/>
            <w:sz w:val="22"/>
            <w:szCs w:val="22"/>
          </w:rPr>
          <w:t>Legge 244/2007</w:t>
        </w:r>
      </w:hyperlink>
      <w:r>
        <w:rPr>
          <w:rFonts w:cs="Arial"/>
          <w:sz w:val="22"/>
          <w:szCs w:val="22"/>
        </w:rPr>
        <w:t>, delle riduzioni di spesa disposte dall’</w:t>
      </w:r>
      <w:hyperlink r:id="rId162" w:history="1">
        <w:r>
          <w:rPr>
            <w:rStyle w:val="Collegamentoipertestuale"/>
            <w:rFonts w:cs="Arial"/>
            <w:sz w:val="22"/>
            <w:szCs w:val="22"/>
          </w:rPr>
          <w:t>art. 6 del D.L. 78/2010</w:t>
        </w:r>
      </w:hyperlink>
      <w:r>
        <w:rPr>
          <w:rFonts w:cs="Arial"/>
          <w:sz w:val="22"/>
          <w:szCs w:val="22"/>
        </w:rPr>
        <w:t xml:space="preserve"> e di quelle dell’art. 1, commi 146 e 147 della </w:t>
      </w:r>
      <w:hyperlink r:id="rId163" w:history="1">
        <w:r>
          <w:rPr>
            <w:rStyle w:val="Collegamentoipertestuale"/>
            <w:rFonts w:cs="Arial"/>
            <w:sz w:val="22"/>
            <w:szCs w:val="22"/>
          </w:rPr>
          <w:t>Legge 24/12/2012 n. 228</w:t>
        </w:r>
      </w:hyperlink>
      <w:r>
        <w:rPr>
          <w:rFonts w:cs="Arial"/>
          <w:sz w:val="22"/>
          <w:szCs w:val="22"/>
        </w:rPr>
        <w:t>.</w:t>
      </w:r>
    </w:p>
    <w:p w:rsidR="001811EC" w:rsidRDefault="002121F5">
      <w:pPr>
        <w:pStyle w:val="Corpodeltesto3"/>
        <w:spacing w:before="120"/>
        <w:rPr>
          <w:rFonts w:cs="Arial"/>
          <w:sz w:val="22"/>
          <w:szCs w:val="22"/>
        </w:rPr>
      </w:pPr>
      <w:r>
        <w:rPr>
          <w:rFonts w:cs="Arial"/>
          <w:sz w:val="22"/>
          <w:szCs w:val="22"/>
        </w:rPr>
        <w:t>In particolare le previsioni per gli anni 2017-2019 rispettano i seguenti limiti:</w:t>
      </w:r>
    </w:p>
    <w:p w:rsidR="001811EC" w:rsidRDefault="001811EC">
      <w:pPr>
        <w:pStyle w:val="Corpodeltesto3"/>
        <w:spacing w:before="120"/>
        <w:rPr>
          <w:rFonts w:cs="Arial"/>
          <w:sz w:val="22"/>
          <w:szCs w:val="22"/>
        </w:rPr>
      </w:pPr>
    </w:p>
    <w:bookmarkStart w:id="74" w:name="_MON_1542697017"/>
    <w:bookmarkEnd w:id="74"/>
    <w:p w:rsidR="001811EC" w:rsidRDefault="002121F5">
      <w:pPr>
        <w:pStyle w:val="Corpodeltesto3"/>
        <w:spacing w:before="120"/>
        <w:rPr>
          <w:rFonts w:cs="Arial"/>
          <w:sz w:val="22"/>
          <w:szCs w:val="22"/>
        </w:rPr>
      </w:pPr>
      <w:r w:rsidRPr="00FF759A">
        <w:rPr>
          <w:rFonts w:cs="Arial"/>
          <w:sz w:val="22"/>
          <w:szCs w:val="22"/>
        </w:rPr>
        <w:object w:dxaOrig="9328" w:dyaOrig="2784">
          <v:shape id="_x0000_i1044" type="#_x0000_t75" style="width:466.6pt;height:139.3pt" o:ole="">
            <v:imagedata r:id="rId164" o:title=""/>
          </v:shape>
          <o:OLEObject Type="Embed" ProgID="Excel.Sheet.12" ShapeID="_x0000_i1044" DrawAspect="Content" ObjectID="_1547620572" r:id="rId165"/>
        </w:object>
      </w:r>
    </w:p>
    <w:p w:rsidR="001811EC" w:rsidRDefault="001811EC">
      <w:pPr>
        <w:rPr>
          <w:rFonts w:ascii="Arial" w:hAnsi="Arial" w:cs="Arial"/>
          <w:color w:val="000000"/>
          <w:sz w:val="22"/>
          <w:szCs w:val="22"/>
        </w:rPr>
      </w:pPr>
      <w:bookmarkStart w:id="75" w:name="_MON_1513857507"/>
      <w:bookmarkEnd w:id="75"/>
    </w:p>
    <w:p w:rsidR="001811EC" w:rsidRDefault="002121F5">
      <w:pPr>
        <w:jc w:val="both"/>
        <w:rPr>
          <w:rFonts w:ascii="Arial" w:hAnsi="Arial" w:cs="Arial"/>
          <w:color w:val="000080"/>
          <w:sz w:val="22"/>
          <w:szCs w:val="22"/>
          <w:u w:val="single"/>
        </w:rPr>
      </w:pPr>
      <w:r>
        <w:rPr>
          <w:rFonts w:ascii="Arial" w:hAnsi="Arial" w:cs="Arial"/>
          <w:color w:val="000080"/>
          <w:sz w:val="22"/>
          <w:szCs w:val="22"/>
          <w:u w:val="single"/>
        </w:rPr>
        <w:t xml:space="preserve">La </w:t>
      </w:r>
      <w:hyperlink r:id="rId166" w:history="1">
        <w:r>
          <w:rPr>
            <w:rStyle w:val="Collegamentoipertestuale"/>
            <w:rFonts w:ascii="Arial" w:hAnsi="Arial" w:cs="Arial"/>
            <w:sz w:val="22"/>
            <w:szCs w:val="22"/>
          </w:rPr>
          <w:t>Corte costituzionale con sentenza 139 del 2012</w:t>
        </w:r>
      </w:hyperlink>
      <w:r>
        <w:rPr>
          <w:rFonts w:ascii="Arial" w:hAnsi="Arial" w:cs="Arial"/>
          <w:color w:val="000080"/>
          <w:sz w:val="22"/>
          <w:szCs w:val="22"/>
          <w:u w:val="single"/>
        </w:rPr>
        <w:t xml:space="preserve"> e la </w:t>
      </w:r>
      <w:hyperlink r:id="rId167" w:history="1">
        <w:r>
          <w:rPr>
            <w:rStyle w:val="Collegamentoipertestuale"/>
            <w:rFonts w:ascii="Arial" w:hAnsi="Arial" w:cs="Arial"/>
            <w:sz w:val="22"/>
            <w:szCs w:val="22"/>
          </w:rPr>
          <w:t>Sezione Autonomie della Corte dei Conti con delibera 26 del 20/12/2013</w:t>
        </w:r>
      </w:hyperlink>
      <w:r>
        <w:rPr>
          <w:rFonts w:ascii="Arial" w:hAnsi="Arial" w:cs="Arial"/>
          <w:color w:val="000080"/>
          <w:sz w:val="22"/>
          <w:szCs w:val="22"/>
          <w:u w:val="single"/>
        </w:rPr>
        <w:t>, hanno stabilito che deve essere rispettato il limite complessivo ed è consentito che lo stanziamento in bilancio fra le diverse tipologie avvenga in base alle necessità derivanti dalle attività istituzionali dell’ente.</w:t>
      </w:r>
    </w:p>
    <w:p w:rsidR="001811EC" w:rsidRDefault="001811EC">
      <w:pPr>
        <w:jc w:val="both"/>
        <w:rPr>
          <w:rFonts w:ascii="Arial" w:hAnsi="Arial" w:cs="Arial"/>
          <w:sz w:val="22"/>
          <w:szCs w:val="22"/>
        </w:rPr>
      </w:pPr>
    </w:p>
    <w:p w:rsidR="001811EC" w:rsidRDefault="002121F5">
      <w:pPr>
        <w:pStyle w:val="Titolo3"/>
        <w:rPr>
          <w:szCs w:val="22"/>
        </w:rPr>
      </w:pPr>
      <w:bookmarkStart w:id="76" w:name="_Toc469216214"/>
      <w:r>
        <w:rPr>
          <w:szCs w:val="22"/>
        </w:rPr>
        <w:t>Fondo crediti di dubbia esigibilità (FCDE)</w:t>
      </w:r>
      <w:bookmarkEnd w:id="76"/>
    </w:p>
    <w:p w:rsidR="001811EC" w:rsidRDefault="001811EC">
      <w:pPr>
        <w:rPr>
          <w:rFonts w:ascii="Arial" w:hAnsi="Arial" w:cs="Arial"/>
          <w:sz w:val="22"/>
          <w:szCs w:val="22"/>
        </w:rPr>
      </w:pPr>
    </w:p>
    <w:p w:rsidR="001811EC" w:rsidRDefault="002121F5">
      <w:pPr>
        <w:jc w:val="both"/>
        <w:rPr>
          <w:rFonts w:ascii="Arial" w:hAnsi="Arial" w:cs="Arial"/>
          <w:i/>
          <w:color w:val="365F91" w:themeColor="accent1" w:themeShade="BF"/>
          <w:sz w:val="22"/>
          <w:szCs w:val="22"/>
        </w:rPr>
      </w:pPr>
      <w:r>
        <w:rPr>
          <w:rFonts w:ascii="Arial" w:hAnsi="Arial" w:cs="Arial"/>
          <w:i/>
          <w:color w:val="365F91" w:themeColor="accent1" w:themeShade="BF"/>
          <w:sz w:val="22"/>
          <w:szCs w:val="22"/>
        </w:rPr>
        <w:t xml:space="preserve">Il </w:t>
      </w:r>
      <w:hyperlink r:id="rId168" w:history="1">
        <w:r>
          <w:rPr>
            <w:rStyle w:val="Collegamentoipertestuale"/>
            <w:rFonts w:ascii="Arial" w:hAnsi="Arial" w:cs="Arial"/>
            <w:i/>
            <w:sz w:val="22"/>
            <w:szCs w:val="22"/>
          </w:rPr>
          <w:t>principio applicato 4/2</w:t>
        </w:r>
      </w:hyperlink>
      <w:r>
        <w:rPr>
          <w:rFonts w:ascii="Arial" w:hAnsi="Arial" w:cs="Arial"/>
          <w:i/>
          <w:color w:val="365F91" w:themeColor="accent1" w:themeShade="BF"/>
          <w:sz w:val="22"/>
          <w:szCs w:val="22"/>
        </w:rPr>
        <w:t>, punto 3.3. prevede che</w:t>
      </w:r>
      <w:r>
        <w:rPr>
          <w:rFonts w:ascii="Arial" w:hAnsi="Arial" w:cs="Arial"/>
          <w:b/>
          <w:i/>
          <w:color w:val="365F91" w:themeColor="accent1" w:themeShade="BF"/>
          <w:sz w:val="22"/>
          <w:szCs w:val="22"/>
        </w:rPr>
        <w:t xml:space="preserve"> </w:t>
      </w:r>
      <w:r>
        <w:rPr>
          <w:rFonts w:ascii="Arial" w:hAnsi="Arial" w:cs="Arial"/>
          <w:i/>
          <w:color w:val="365F91" w:themeColor="accent1" w:themeShade="BF"/>
          <w:sz w:val="22"/>
          <w:szCs w:val="22"/>
        </w:rPr>
        <w:t xml:space="preserve">le entrate di dubbia e difficile esazione siano accertate per l’intero importo del credito anche, per le quali non è certa la riscossione integrale, quali le sanzioni amministrative al codice della strada, le rette per servizi pubblici a domanda, i proventi derivanti dalla lotta all’evasione, ecc.. </w:t>
      </w:r>
    </w:p>
    <w:p w:rsidR="001811EC" w:rsidRDefault="002121F5">
      <w:pPr>
        <w:jc w:val="both"/>
        <w:rPr>
          <w:rFonts w:ascii="Arial" w:hAnsi="Arial" w:cs="Arial"/>
          <w:i/>
          <w:color w:val="365F91" w:themeColor="accent1" w:themeShade="BF"/>
          <w:sz w:val="22"/>
          <w:szCs w:val="22"/>
        </w:rPr>
      </w:pPr>
      <w:r>
        <w:rPr>
          <w:rFonts w:ascii="Arial" w:hAnsi="Arial" w:cs="Arial"/>
          <w:i/>
          <w:color w:val="365F91" w:themeColor="accent1" w:themeShade="BF"/>
          <w:sz w:val="22"/>
          <w:szCs w:val="22"/>
        </w:rPr>
        <w:t>Per i crediti di dubbia e difficile esazione accertati nell’esercizio è effettuato un accantonamento al fondo crediti di dubbia esigibilità, vincolando una quota dell’avanzo di amministrazione. A tal fine è stanziata nel bilancio di previsione un’ apposita posta contabile, denominata “Accantonamento al fondo crediti di dubbia esigibilità” il cui ammontare è determinato in considerazione della dimensione degli stanziamenti relativi ai crediti che si prevede si formeranno nell’esercizio, della loro natura e dell’andamento del fenomeno negli ultimi cinque esercizi precedenti (la media del rapporto tra incassi e accertamenti per ciascuna tipologia di entrata).</w:t>
      </w:r>
    </w:p>
    <w:p w:rsidR="001811EC" w:rsidRDefault="002121F5">
      <w:pPr>
        <w:jc w:val="both"/>
        <w:rPr>
          <w:rFonts w:ascii="Arial" w:hAnsi="Arial" w:cs="Arial"/>
          <w:sz w:val="22"/>
          <w:szCs w:val="22"/>
        </w:rPr>
      </w:pPr>
      <w:r>
        <w:rPr>
          <w:rFonts w:ascii="Arial" w:hAnsi="Arial" w:cs="Arial"/>
          <w:sz w:val="22"/>
          <w:szCs w:val="22"/>
        </w:rPr>
        <w:t xml:space="preserve">La dimostrazione della quota accantonata a FCDE nel bilancio 2017-2019 è evidenziata nei prospetti che seguono per singola tipologia di entrata. Il FCDE è determinato applicando all’importo complessivo degli stanziamenti di ciascuna delle entrate una percentuale pari al complemento a 100 delle medie calcolate come di seguito specificato. </w:t>
      </w:r>
    </w:p>
    <w:p w:rsidR="001811EC" w:rsidRDefault="002121F5">
      <w:pPr>
        <w:tabs>
          <w:tab w:val="left" w:pos="284"/>
        </w:tabs>
        <w:ind w:right="-1"/>
        <w:jc w:val="both"/>
        <w:rPr>
          <w:rFonts w:ascii="Arial" w:hAnsi="Arial" w:cs="Arial"/>
          <w:color w:val="17365D" w:themeColor="text2" w:themeShade="BF"/>
          <w:sz w:val="22"/>
          <w:szCs w:val="22"/>
        </w:rPr>
      </w:pPr>
      <w:r>
        <w:rPr>
          <w:rFonts w:ascii="Arial" w:hAnsi="Arial" w:cs="Arial"/>
          <w:sz w:val="22"/>
          <w:szCs w:val="22"/>
        </w:rPr>
        <w:t>I calcoli sono stati effettuati applicando al rapporto tra gli incassi in c/competenza e gli accertamenti degli ultimi 5 esercizi, il seguente metodo ………….(</w:t>
      </w:r>
      <w:r>
        <w:rPr>
          <w:rFonts w:ascii="Arial" w:hAnsi="Arial" w:cs="Arial"/>
          <w:color w:val="17365D" w:themeColor="text2" w:themeShade="BF"/>
          <w:sz w:val="22"/>
          <w:szCs w:val="22"/>
        </w:rPr>
        <w:t>specificare  quali delle seguenti medie è stata prescelta):</w:t>
      </w:r>
    </w:p>
    <w:p w:rsidR="001811EC" w:rsidRDefault="002121F5">
      <w:pPr>
        <w:pStyle w:val="Paragrafoelenco"/>
        <w:numPr>
          <w:ilvl w:val="0"/>
          <w:numId w:val="14"/>
        </w:numPr>
        <w:jc w:val="both"/>
        <w:rPr>
          <w:rFonts w:ascii="Arial" w:hAnsi="Arial" w:cs="Arial"/>
          <w:color w:val="17365D" w:themeColor="text2" w:themeShade="BF"/>
          <w:sz w:val="22"/>
          <w:szCs w:val="22"/>
        </w:rPr>
      </w:pPr>
      <w:r>
        <w:rPr>
          <w:rFonts w:ascii="Arial" w:hAnsi="Arial" w:cs="Arial"/>
          <w:color w:val="17365D" w:themeColor="text2" w:themeShade="BF"/>
          <w:sz w:val="22"/>
          <w:szCs w:val="22"/>
        </w:rPr>
        <w:t>media semplice (sia la media fra totale incassato e totale accertato, sia la  media dei rapporti annui);</w:t>
      </w:r>
    </w:p>
    <w:p w:rsidR="001811EC" w:rsidRDefault="002121F5">
      <w:pPr>
        <w:pStyle w:val="Paragrafoelenco"/>
        <w:numPr>
          <w:ilvl w:val="0"/>
          <w:numId w:val="14"/>
        </w:numPr>
        <w:jc w:val="both"/>
        <w:rPr>
          <w:rFonts w:ascii="Arial" w:hAnsi="Arial" w:cs="Arial"/>
          <w:color w:val="17365D" w:themeColor="text2" w:themeShade="BF"/>
          <w:sz w:val="22"/>
          <w:szCs w:val="22"/>
        </w:rPr>
      </w:pPr>
      <w:r>
        <w:rPr>
          <w:rFonts w:ascii="Arial" w:hAnsi="Arial" w:cs="Arial"/>
          <w:color w:val="17365D" w:themeColor="text2" w:themeShade="BF"/>
          <w:sz w:val="22"/>
          <w:szCs w:val="22"/>
        </w:rPr>
        <w:t>rapporto tra la sommatoria degli incassi di ciascun anno ponderati con i seguenti pesi: 0,35 in ciascuno degli anni nel biennio precedente e lo 0,10 in ciascuno degli anni del primo triennio - rispetto alla sommatoria degli accertamenti di ciascuna anno ponderati con i medesimi pesi indicati per gli incassi;</w:t>
      </w:r>
    </w:p>
    <w:p w:rsidR="001811EC" w:rsidRDefault="002121F5">
      <w:pPr>
        <w:pStyle w:val="Paragrafoelenco"/>
        <w:numPr>
          <w:ilvl w:val="0"/>
          <w:numId w:val="14"/>
        </w:numPr>
        <w:jc w:val="both"/>
        <w:rPr>
          <w:rFonts w:ascii="Arial" w:hAnsi="Arial" w:cs="Arial"/>
          <w:color w:val="17365D" w:themeColor="text2" w:themeShade="BF"/>
          <w:sz w:val="22"/>
          <w:szCs w:val="22"/>
        </w:rPr>
      </w:pPr>
      <w:r>
        <w:rPr>
          <w:rFonts w:ascii="Arial" w:hAnsi="Arial" w:cs="Arial"/>
          <w:color w:val="17365D" w:themeColor="text2" w:themeShade="BF"/>
          <w:sz w:val="22"/>
          <w:szCs w:val="22"/>
        </w:rPr>
        <w:lastRenderedPageBreak/>
        <w:t>media ponderata del rapporto tra incassi e accertamenti registrato in ciascun anno del quinquennio con i seguenti pesi: 0,35 in ciascuno degli anni nel biennio precedente e il  0,10 in ciascuno degli anni del primo triennio).</w:t>
      </w:r>
    </w:p>
    <w:p w:rsidR="001811EC" w:rsidRDefault="001811EC">
      <w:pPr>
        <w:tabs>
          <w:tab w:val="left" w:pos="284"/>
        </w:tabs>
        <w:ind w:right="-285"/>
        <w:jc w:val="both"/>
        <w:rPr>
          <w:rFonts w:ascii="Arial" w:hAnsi="Arial" w:cs="Arial"/>
          <w:b/>
          <w:color w:val="17365D" w:themeColor="text2" w:themeShade="BF"/>
          <w:sz w:val="22"/>
          <w:szCs w:val="22"/>
        </w:rPr>
      </w:pPr>
    </w:p>
    <w:p w:rsidR="001811EC" w:rsidRDefault="002121F5">
      <w:pPr>
        <w:tabs>
          <w:tab w:val="left" w:pos="284"/>
        </w:tabs>
        <w:ind w:right="-1"/>
        <w:jc w:val="both"/>
        <w:rPr>
          <w:rFonts w:ascii="Arial" w:hAnsi="Arial" w:cs="Arial"/>
          <w:i/>
          <w:color w:val="17365D" w:themeColor="text2" w:themeShade="BF"/>
          <w:sz w:val="22"/>
          <w:szCs w:val="22"/>
        </w:rPr>
      </w:pPr>
      <w:r>
        <w:rPr>
          <w:rFonts w:ascii="Arial" w:hAnsi="Arial" w:cs="Arial"/>
          <w:i/>
          <w:color w:val="17365D" w:themeColor="text2" w:themeShade="BF"/>
          <w:sz w:val="22"/>
          <w:szCs w:val="22"/>
        </w:rPr>
        <w:t xml:space="preserve">La possibilità di considerare al numeratore gli incassi in c/competenza e quelli in c/residui ai fini della determinazione del rapporto è da considerarsi valida solo nel primo esercizio di adozione dei nuovi principi. </w:t>
      </w:r>
    </w:p>
    <w:p w:rsidR="001811EC" w:rsidRDefault="002121F5">
      <w:pPr>
        <w:tabs>
          <w:tab w:val="left" w:pos="284"/>
        </w:tabs>
        <w:ind w:right="-1"/>
        <w:jc w:val="both"/>
        <w:rPr>
          <w:rFonts w:ascii="Arial" w:hAnsi="Arial" w:cs="Arial"/>
          <w:i/>
          <w:color w:val="17365D" w:themeColor="text2" w:themeShade="BF"/>
          <w:sz w:val="22"/>
          <w:szCs w:val="22"/>
        </w:rPr>
      </w:pPr>
      <w:r>
        <w:rPr>
          <w:rFonts w:ascii="Arial" w:hAnsi="Arial" w:cs="Arial"/>
          <w:i/>
          <w:color w:val="17365D" w:themeColor="text2" w:themeShade="BF"/>
          <w:sz w:val="22"/>
          <w:szCs w:val="22"/>
        </w:rPr>
        <w:t>Pertanto nel secondo anno di applicazione dei nuovi principi, per le entrate accertate per competenza la media è calcolata facendo riferimento agli incassi (in c/competenza e in c/residui) e agli accertamenti del primo quadriennio del quinquennio precedente e al rapporto tra gli incassi di competenza e gli accertamenti dell’anno precedente. E così via negli anni successivi.</w:t>
      </w:r>
    </w:p>
    <w:p w:rsidR="001811EC" w:rsidRDefault="002121F5">
      <w:pPr>
        <w:tabs>
          <w:tab w:val="left" w:pos="284"/>
        </w:tabs>
        <w:ind w:right="-1"/>
        <w:jc w:val="both"/>
        <w:rPr>
          <w:rFonts w:ascii="Arial" w:hAnsi="Arial" w:cs="Arial"/>
          <w:i/>
          <w:color w:val="17365D" w:themeColor="text2" w:themeShade="BF"/>
          <w:sz w:val="22"/>
          <w:szCs w:val="22"/>
        </w:rPr>
      </w:pPr>
      <w:r>
        <w:rPr>
          <w:rFonts w:ascii="Arial" w:hAnsi="Arial" w:cs="Arial"/>
          <w:i/>
          <w:color w:val="17365D" w:themeColor="text2" w:themeShade="BF"/>
          <w:sz w:val="22"/>
          <w:szCs w:val="22"/>
        </w:rPr>
        <w:t>Per ciascuna formula, solo per gli “esercizi armonizzati", è possibile determinare il rapporto tra incassi di competenza e i relativi accertamenti, considerando tra gli incassi anche le riscossioni effettuate nell’anno successivo  in conto residui dell’anno precedente:</w:t>
      </w:r>
    </w:p>
    <w:p w:rsidR="001811EC" w:rsidRDefault="002121F5">
      <w:pPr>
        <w:pStyle w:val="Paragrafoelenco"/>
        <w:ind w:left="1275" w:firstLine="141"/>
        <w:jc w:val="both"/>
        <w:rPr>
          <w:rFonts w:ascii="Arial" w:hAnsi="Arial" w:cs="Arial"/>
          <w:i/>
          <w:color w:val="17365D" w:themeColor="text2" w:themeShade="BF"/>
          <w:sz w:val="22"/>
          <w:szCs w:val="22"/>
          <w:u w:val="single"/>
        </w:rPr>
      </w:pPr>
      <w:r>
        <w:rPr>
          <w:rFonts w:ascii="Arial" w:hAnsi="Arial" w:cs="Arial"/>
          <w:i/>
          <w:color w:val="17365D" w:themeColor="text2" w:themeShade="BF"/>
          <w:sz w:val="22"/>
          <w:szCs w:val="22"/>
        </w:rPr>
        <w:t xml:space="preserve">                  </w:t>
      </w:r>
      <w:r>
        <w:rPr>
          <w:rFonts w:ascii="Arial" w:hAnsi="Arial" w:cs="Arial"/>
          <w:i/>
          <w:color w:val="17365D" w:themeColor="text2" w:themeShade="BF"/>
          <w:sz w:val="22"/>
          <w:szCs w:val="22"/>
          <w:u w:val="single"/>
        </w:rPr>
        <w:t xml:space="preserve"> </w:t>
      </w:r>
    </w:p>
    <w:p w:rsidR="001811EC" w:rsidRDefault="002121F5">
      <w:pPr>
        <w:pStyle w:val="Paragrafoelenco"/>
        <w:ind w:left="1275" w:firstLine="141"/>
        <w:jc w:val="center"/>
        <w:rPr>
          <w:rFonts w:ascii="Arial" w:hAnsi="Arial" w:cs="Arial"/>
          <w:i/>
          <w:color w:val="17365D" w:themeColor="text2" w:themeShade="BF"/>
          <w:sz w:val="22"/>
          <w:szCs w:val="22"/>
          <w:u w:val="single"/>
        </w:rPr>
      </w:pPr>
      <w:r>
        <w:rPr>
          <w:rFonts w:ascii="Arial" w:hAnsi="Arial" w:cs="Arial"/>
          <w:i/>
          <w:color w:val="17365D" w:themeColor="text2" w:themeShade="BF"/>
          <w:sz w:val="22"/>
          <w:szCs w:val="22"/>
          <w:u w:val="single"/>
        </w:rPr>
        <w:t>incassi di competenza es. X + incassi esercizio X+1 in c/residui X</w:t>
      </w:r>
    </w:p>
    <w:p w:rsidR="001811EC" w:rsidRDefault="002121F5">
      <w:pPr>
        <w:pStyle w:val="Paragrafoelenco"/>
        <w:ind w:left="567"/>
        <w:jc w:val="center"/>
        <w:rPr>
          <w:rFonts w:ascii="Arial" w:hAnsi="Arial" w:cs="Arial"/>
          <w:i/>
          <w:color w:val="17365D" w:themeColor="text2" w:themeShade="BF"/>
          <w:sz w:val="22"/>
          <w:szCs w:val="22"/>
        </w:rPr>
      </w:pPr>
      <w:r>
        <w:rPr>
          <w:rFonts w:ascii="Arial" w:hAnsi="Arial" w:cs="Arial"/>
          <w:i/>
          <w:color w:val="17365D" w:themeColor="text2" w:themeShade="BF"/>
          <w:sz w:val="22"/>
          <w:szCs w:val="22"/>
        </w:rPr>
        <w:t>Accertamenti esercizio X</w:t>
      </w:r>
    </w:p>
    <w:p w:rsidR="001811EC" w:rsidRDefault="002121F5">
      <w:pPr>
        <w:jc w:val="both"/>
        <w:rPr>
          <w:rFonts w:ascii="Arial" w:hAnsi="Arial" w:cs="Arial"/>
          <w:i/>
          <w:sz w:val="22"/>
          <w:szCs w:val="22"/>
          <w:u w:val="single"/>
        </w:rPr>
      </w:pPr>
      <w:r>
        <w:rPr>
          <w:rFonts w:ascii="Arial" w:hAnsi="Arial" w:cs="Arial"/>
          <w:i/>
          <w:sz w:val="22"/>
          <w:szCs w:val="22"/>
          <w:u w:val="single"/>
        </w:rPr>
        <w:t>(specificare se l’ente si è avvalso di tale facoltà e se ha utilizzato metodi di calcolo diversi).</w:t>
      </w:r>
    </w:p>
    <w:p w:rsidR="001811EC" w:rsidRDefault="002121F5">
      <w:pPr>
        <w:jc w:val="both"/>
        <w:rPr>
          <w:rFonts w:ascii="Arial" w:hAnsi="Arial" w:cs="Arial"/>
          <w:i/>
          <w:color w:val="17365D" w:themeColor="text2" w:themeShade="BF"/>
          <w:sz w:val="22"/>
          <w:szCs w:val="22"/>
        </w:rPr>
      </w:pPr>
      <w:r>
        <w:rPr>
          <w:rFonts w:ascii="Arial" w:hAnsi="Arial" w:cs="Arial"/>
          <w:i/>
          <w:color w:val="17365D" w:themeColor="text2" w:themeShade="BF"/>
          <w:sz w:val="22"/>
          <w:szCs w:val="22"/>
        </w:rPr>
        <w:t xml:space="preserve"> </w:t>
      </w:r>
    </w:p>
    <w:p w:rsidR="001811EC" w:rsidRDefault="002121F5">
      <w:pPr>
        <w:tabs>
          <w:tab w:val="left" w:pos="284"/>
        </w:tabs>
        <w:ind w:right="-1"/>
        <w:jc w:val="both"/>
        <w:rPr>
          <w:rFonts w:ascii="Arial" w:hAnsi="Arial" w:cs="Arial"/>
          <w:i/>
          <w:color w:val="17365D" w:themeColor="text2" w:themeShade="BF"/>
          <w:sz w:val="22"/>
          <w:szCs w:val="22"/>
        </w:rPr>
      </w:pPr>
      <w:r>
        <w:rPr>
          <w:rFonts w:ascii="Arial" w:hAnsi="Arial" w:cs="Arial"/>
          <w:i/>
          <w:color w:val="17365D" w:themeColor="text2" w:themeShade="BF"/>
          <w:sz w:val="22"/>
          <w:szCs w:val="22"/>
        </w:rPr>
        <w:t>Per le entrate che negli esercizi precedenti all’adozione del nuovo ordinamento contabile erano state accertate per cassa, il fondo crediti di dubbia esigibilità è determinato sulla base di dati extra-contabili, ad esempio confrontando il totale dei ruoli ordinari emessi negli ultimi cinque anni con gli incassi complessivi (senza distinguere gli incassi relativi ai ruoli ordinari da quelli relativi ai ruoli coattivi) registrati nei medesimi esercizi.</w:t>
      </w:r>
    </w:p>
    <w:p w:rsidR="001811EC" w:rsidRDefault="002121F5">
      <w:pPr>
        <w:tabs>
          <w:tab w:val="left" w:pos="284"/>
        </w:tabs>
        <w:ind w:right="-1"/>
        <w:jc w:val="both"/>
        <w:rPr>
          <w:rFonts w:ascii="Arial" w:hAnsi="Arial" w:cs="Arial"/>
          <w:color w:val="17365D" w:themeColor="text2" w:themeShade="BF"/>
          <w:sz w:val="22"/>
          <w:szCs w:val="22"/>
        </w:rPr>
      </w:pPr>
      <w:r>
        <w:rPr>
          <w:rFonts w:ascii="Arial" w:hAnsi="Arial" w:cs="Arial"/>
          <w:i/>
          <w:color w:val="17365D" w:themeColor="text2" w:themeShade="BF"/>
          <w:sz w:val="22"/>
          <w:szCs w:val="22"/>
        </w:rPr>
        <w:t>Si fa presente che enti che negli ultimi tre esercizi hanno formalmente attivato un processo di accelerazione della propria capacità di riscossione possono calcolare il fondo crediti di dubbia esigibilità</w:t>
      </w:r>
      <w:r>
        <w:rPr>
          <w:rFonts w:ascii="Arial" w:hAnsi="Arial" w:cs="Arial"/>
          <w:color w:val="17365D" w:themeColor="text2" w:themeShade="BF"/>
          <w:sz w:val="22"/>
          <w:szCs w:val="22"/>
        </w:rPr>
        <w:t xml:space="preserve"> </w:t>
      </w:r>
      <w:r>
        <w:rPr>
          <w:rFonts w:ascii="Arial" w:hAnsi="Arial" w:cs="Arial"/>
          <w:i/>
          <w:color w:val="17365D" w:themeColor="text2" w:themeShade="BF"/>
          <w:sz w:val="22"/>
          <w:szCs w:val="22"/>
        </w:rPr>
        <w:t>facendo riferimento ai risultati di tali tre esercizi.</w:t>
      </w:r>
      <w:r>
        <w:rPr>
          <w:rFonts w:ascii="Arial" w:hAnsi="Arial" w:cs="Arial"/>
          <w:color w:val="17365D" w:themeColor="text2" w:themeShade="BF"/>
          <w:sz w:val="22"/>
          <w:szCs w:val="22"/>
        </w:rPr>
        <w:t xml:space="preserve"> </w:t>
      </w:r>
    </w:p>
    <w:p w:rsidR="001811EC" w:rsidRDefault="002121F5">
      <w:pPr>
        <w:jc w:val="both"/>
        <w:rPr>
          <w:rFonts w:ascii="Arial" w:hAnsi="Arial" w:cs="Arial"/>
          <w:i/>
          <w:sz w:val="22"/>
          <w:szCs w:val="22"/>
          <w:u w:val="single"/>
        </w:rPr>
      </w:pPr>
      <w:r>
        <w:rPr>
          <w:rFonts w:ascii="Arial" w:hAnsi="Arial" w:cs="Arial"/>
          <w:i/>
          <w:sz w:val="22"/>
          <w:szCs w:val="22"/>
          <w:u w:val="single"/>
        </w:rPr>
        <w:t>(specificare se l’ente si è avvalso di tale facoltà).</w:t>
      </w:r>
    </w:p>
    <w:p w:rsidR="001811EC" w:rsidRDefault="001811EC">
      <w:pPr>
        <w:tabs>
          <w:tab w:val="left" w:pos="284"/>
        </w:tabs>
        <w:ind w:right="-285"/>
        <w:jc w:val="both"/>
        <w:rPr>
          <w:rFonts w:ascii="Arial" w:hAnsi="Arial" w:cs="Arial"/>
          <w:sz w:val="22"/>
          <w:szCs w:val="22"/>
        </w:rPr>
      </w:pPr>
    </w:p>
    <w:p w:rsidR="001811EC" w:rsidRDefault="002121F5">
      <w:pPr>
        <w:tabs>
          <w:tab w:val="left" w:pos="284"/>
        </w:tabs>
        <w:ind w:right="-1"/>
        <w:jc w:val="both"/>
        <w:rPr>
          <w:rFonts w:ascii="Arial" w:hAnsi="Arial" w:cs="Arial"/>
          <w:b/>
          <w:i/>
          <w:color w:val="17365D" w:themeColor="text2" w:themeShade="BF"/>
          <w:sz w:val="22"/>
          <w:szCs w:val="22"/>
        </w:rPr>
      </w:pPr>
      <w:r>
        <w:rPr>
          <w:rFonts w:ascii="Arial" w:hAnsi="Arial" w:cs="Arial"/>
          <w:i/>
          <w:color w:val="17365D" w:themeColor="text2" w:themeShade="BF"/>
          <w:sz w:val="22"/>
          <w:szCs w:val="22"/>
        </w:rPr>
        <w:t xml:space="preserve">Non sono oggetto di svalutazione i crediti da altre amministrazioni pubbliche, i crediti assistiti da fidejussione e le entrate tributarie che, sulla base dei principi contabili sono accertate per cassa. Per le entrate da tributi in autoliquidazione in ossequio al </w:t>
      </w:r>
      <w:r w:rsidR="002353AA" w:rsidRPr="00A608DA">
        <w:rPr>
          <w:rFonts w:ascii="Arial" w:hAnsi="Arial" w:cs="Arial"/>
          <w:i/>
          <w:color w:val="17365D" w:themeColor="text2" w:themeShade="BF"/>
          <w:sz w:val="22"/>
          <w:szCs w:val="22"/>
        </w:rPr>
        <w:t>punto</w:t>
      </w:r>
      <w:r>
        <w:rPr>
          <w:rFonts w:ascii="Arial" w:hAnsi="Arial" w:cs="Arial"/>
          <w:i/>
          <w:color w:val="17365D" w:themeColor="text2" w:themeShade="BF"/>
          <w:sz w:val="22"/>
          <w:szCs w:val="22"/>
        </w:rPr>
        <w:t xml:space="preserve"> 3.7.5, stante le modalità di accertamento non è stato previsto il FCDE</w:t>
      </w:r>
    </w:p>
    <w:p w:rsidR="001811EC" w:rsidRDefault="002121F5">
      <w:pPr>
        <w:tabs>
          <w:tab w:val="left" w:pos="284"/>
        </w:tabs>
        <w:ind w:right="-1"/>
        <w:jc w:val="both"/>
        <w:rPr>
          <w:rFonts w:ascii="Arial" w:hAnsi="Arial" w:cs="Arial"/>
          <w:i/>
          <w:color w:val="17365D" w:themeColor="text2" w:themeShade="BF"/>
          <w:sz w:val="22"/>
          <w:szCs w:val="22"/>
        </w:rPr>
      </w:pPr>
      <w:r>
        <w:rPr>
          <w:rFonts w:ascii="Arial" w:hAnsi="Arial" w:cs="Arial"/>
          <w:i/>
          <w:color w:val="17365D" w:themeColor="text2" w:themeShade="BF"/>
          <w:sz w:val="22"/>
          <w:szCs w:val="22"/>
        </w:rPr>
        <w:t>Non sono altresì oggetto di svalutazione le entrate di dubbia e difficile esazione riguardanti entrate riscosse da un ente per conto di un altro ente e destinate ad essere versate all’ente beneficiario finale. Il fondo crediti di dubbia esigibilità è accantonato dall’ente beneficiario finale.</w:t>
      </w:r>
    </w:p>
    <w:p w:rsidR="001811EC" w:rsidRDefault="001811EC">
      <w:pPr>
        <w:tabs>
          <w:tab w:val="left" w:pos="284"/>
        </w:tabs>
        <w:ind w:right="-285"/>
        <w:jc w:val="both"/>
        <w:rPr>
          <w:rFonts w:ascii="Arial" w:hAnsi="Arial" w:cs="Arial"/>
          <w:sz w:val="22"/>
          <w:szCs w:val="22"/>
        </w:rPr>
      </w:pPr>
    </w:p>
    <w:p w:rsidR="001811EC" w:rsidRPr="00C27228" w:rsidRDefault="002121F5">
      <w:pPr>
        <w:ind w:right="-1"/>
        <w:jc w:val="both"/>
        <w:rPr>
          <w:rFonts w:ascii="Arial" w:hAnsi="Arial" w:cs="Arial"/>
          <w:i/>
          <w:color w:val="17365D" w:themeColor="text2" w:themeShade="BF"/>
          <w:sz w:val="22"/>
          <w:szCs w:val="22"/>
          <w:highlight w:val="yellow"/>
        </w:rPr>
      </w:pPr>
      <w:r w:rsidRPr="00C27228">
        <w:rPr>
          <w:rFonts w:ascii="Arial" w:hAnsi="Arial" w:cs="Arial"/>
          <w:i/>
          <w:color w:val="17365D" w:themeColor="text2" w:themeShade="BF"/>
          <w:sz w:val="22"/>
          <w:szCs w:val="22"/>
          <w:highlight w:val="yellow"/>
        </w:rPr>
        <w:t>Nel 2017 per tutti gli enti locali lo stanziamento di bilancio riguardante il fondo crediti di dubbia esigibilità è pari almeno al 70%, nel 2018 è pari almeno all’85% di quello risultante dall’applicazione dal 2019 l'accantonamento al fondo è effettuato per l'intero importo.</w:t>
      </w:r>
    </w:p>
    <w:p w:rsidR="001811EC" w:rsidRDefault="002121F5">
      <w:pPr>
        <w:tabs>
          <w:tab w:val="left" w:pos="284"/>
        </w:tabs>
        <w:ind w:right="-1"/>
        <w:jc w:val="both"/>
        <w:rPr>
          <w:rFonts w:ascii="Arial" w:hAnsi="Arial" w:cs="Arial"/>
          <w:i/>
          <w:color w:val="17365D" w:themeColor="text2" w:themeShade="BF"/>
          <w:sz w:val="22"/>
          <w:szCs w:val="22"/>
        </w:rPr>
      </w:pPr>
      <w:r w:rsidRPr="00C27228">
        <w:rPr>
          <w:rFonts w:ascii="Arial" w:hAnsi="Arial" w:cs="Arial"/>
          <w:i/>
          <w:color w:val="17365D" w:themeColor="text2" w:themeShade="BF"/>
          <w:sz w:val="22"/>
          <w:szCs w:val="22"/>
          <w:highlight w:val="yellow"/>
        </w:rPr>
        <w:t>Il fondo crediti di dubbia esigibilità, pur confluendo in un unico piano finanziario incluso nella missione 20 programma 2, deve essere articolato distintamente in considerazione della differente natura dei crediti.</w:t>
      </w:r>
    </w:p>
    <w:p w:rsidR="001811EC" w:rsidRDefault="001811EC">
      <w:pPr>
        <w:tabs>
          <w:tab w:val="left" w:pos="284"/>
        </w:tabs>
        <w:ind w:right="-1"/>
        <w:jc w:val="both"/>
        <w:rPr>
          <w:rFonts w:ascii="Arial" w:hAnsi="Arial" w:cs="Arial"/>
          <w:sz w:val="22"/>
          <w:szCs w:val="22"/>
        </w:rPr>
      </w:pPr>
    </w:p>
    <w:p w:rsidR="001811EC" w:rsidRDefault="002121F5">
      <w:pPr>
        <w:tabs>
          <w:tab w:val="left" w:pos="284"/>
        </w:tabs>
        <w:ind w:right="-1"/>
        <w:jc w:val="both"/>
        <w:rPr>
          <w:rFonts w:ascii="Arial" w:hAnsi="Arial" w:cs="Arial"/>
          <w:sz w:val="22"/>
          <w:szCs w:val="22"/>
        </w:rPr>
      </w:pPr>
      <w:r>
        <w:rPr>
          <w:rFonts w:ascii="Arial" w:hAnsi="Arial" w:cs="Arial"/>
          <w:sz w:val="22"/>
          <w:szCs w:val="22"/>
        </w:rPr>
        <w:t>L’accantonamento al fondo crediti di dubbia esigibilità non è oggetto d’impegno e genera un’economia di bilancio che confluisce nel risultato di amministrazione come quota accantonata.</w:t>
      </w:r>
    </w:p>
    <w:p w:rsidR="001811EC" w:rsidRDefault="001811EC">
      <w:pPr>
        <w:jc w:val="both"/>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L’Organo di revisione ha accertato la regolarità del calcolo del fondo ed il rispetto della percentuale minima di accantonamento.</w:t>
      </w:r>
    </w:p>
    <w:p w:rsidR="001811EC" w:rsidRDefault="001811EC">
      <w:pPr>
        <w:jc w:val="both"/>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 xml:space="preserve">Il fondo crediti di dubbia esigibilità per gli anni 2017-2019 risulta come dai seguenti prospetti: </w:t>
      </w:r>
    </w:p>
    <w:p w:rsidR="001811EC" w:rsidRDefault="001811EC">
      <w:pPr>
        <w:rPr>
          <w:rFonts w:ascii="Arial" w:hAnsi="Arial" w:cs="Arial"/>
          <w:b/>
          <w:sz w:val="22"/>
          <w:szCs w:val="22"/>
          <w:u w:val="single"/>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1811EC">
      <w:pPr>
        <w:rPr>
          <w:rFonts w:ascii="Arial" w:hAnsi="Arial" w:cs="Arial"/>
          <w:sz w:val="22"/>
          <w:szCs w:val="22"/>
        </w:rPr>
      </w:pPr>
    </w:p>
    <w:p w:rsidR="002353AA" w:rsidRDefault="002353AA">
      <w:pPr>
        <w:rPr>
          <w:rFonts w:ascii="Arial" w:hAnsi="Arial" w:cs="Arial"/>
          <w:sz w:val="22"/>
          <w:szCs w:val="22"/>
        </w:rPr>
      </w:pPr>
    </w:p>
    <w:p w:rsidR="002353AA" w:rsidRDefault="002353AA">
      <w:pPr>
        <w:rPr>
          <w:rFonts w:ascii="Arial" w:hAnsi="Arial" w:cs="Arial"/>
          <w:sz w:val="22"/>
          <w:szCs w:val="22"/>
        </w:rPr>
      </w:pPr>
    </w:p>
    <w:p w:rsidR="00C27228" w:rsidRDefault="00C27228">
      <w:pPr>
        <w:rPr>
          <w:rFonts w:ascii="Arial" w:hAnsi="Arial" w:cs="Arial"/>
          <w:sz w:val="22"/>
          <w:szCs w:val="22"/>
        </w:rPr>
      </w:pPr>
    </w:p>
    <w:p w:rsidR="00C27228" w:rsidRDefault="00C27228">
      <w:pPr>
        <w:rPr>
          <w:rFonts w:ascii="Arial" w:hAnsi="Arial" w:cs="Arial"/>
          <w:sz w:val="22"/>
          <w:szCs w:val="22"/>
        </w:rPr>
      </w:pPr>
    </w:p>
    <w:p w:rsidR="00C27228" w:rsidRDefault="00C27228">
      <w:pPr>
        <w:rPr>
          <w:rFonts w:ascii="Arial" w:hAnsi="Arial" w:cs="Arial"/>
          <w:sz w:val="22"/>
          <w:szCs w:val="22"/>
        </w:rPr>
      </w:pPr>
    </w:p>
    <w:p w:rsidR="001811EC" w:rsidRDefault="002121F5">
      <w:pPr>
        <w:rPr>
          <w:rFonts w:ascii="Arial" w:hAnsi="Arial" w:cs="Arial"/>
          <w:b/>
          <w:sz w:val="22"/>
          <w:szCs w:val="22"/>
          <w:u w:val="single"/>
        </w:rPr>
      </w:pPr>
      <w:r>
        <w:rPr>
          <w:rFonts w:ascii="Arial" w:hAnsi="Arial" w:cs="Arial"/>
          <w:b/>
          <w:sz w:val="22"/>
          <w:szCs w:val="22"/>
          <w:u w:val="single"/>
        </w:rPr>
        <w:t>ANNO 2017</w:t>
      </w:r>
    </w:p>
    <w:p w:rsidR="001811EC" w:rsidRDefault="001811EC">
      <w:pPr>
        <w:rPr>
          <w:rFonts w:ascii="Arial" w:hAnsi="Arial" w:cs="Arial"/>
          <w:sz w:val="22"/>
          <w:szCs w:val="22"/>
        </w:rPr>
      </w:pPr>
    </w:p>
    <w:bookmarkStart w:id="77" w:name="_MON_1542706864"/>
    <w:bookmarkEnd w:id="77"/>
    <w:p w:rsidR="001811EC" w:rsidRDefault="002121F5">
      <w:pPr>
        <w:rPr>
          <w:rFonts w:ascii="Arial" w:hAnsi="Arial" w:cs="Arial"/>
          <w:sz w:val="22"/>
          <w:szCs w:val="22"/>
        </w:rPr>
      </w:pPr>
      <w:r w:rsidRPr="00FF759A">
        <w:rPr>
          <w:rFonts w:ascii="Arial" w:hAnsi="Arial" w:cs="Arial"/>
          <w:sz w:val="22"/>
          <w:szCs w:val="22"/>
        </w:rPr>
        <w:object w:dxaOrig="10000" w:dyaOrig="3634">
          <v:shape id="_x0000_i1045" type="#_x0000_t75" style="width:512.9pt;height:182.35pt" o:ole="">
            <v:imagedata r:id="rId169" o:title=""/>
          </v:shape>
          <o:OLEObject Type="Embed" ProgID="Excel.Sheet.12" ShapeID="_x0000_i1045" DrawAspect="Content" ObjectID="_1547620573" r:id="rId170"/>
        </w:object>
      </w:r>
    </w:p>
    <w:p w:rsidR="001811EC" w:rsidRDefault="002121F5">
      <w:pPr>
        <w:rPr>
          <w:rFonts w:ascii="Arial" w:hAnsi="Arial" w:cs="Arial"/>
          <w:sz w:val="22"/>
          <w:szCs w:val="22"/>
        </w:rPr>
      </w:pPr>
      <w:r>
        <w:rPr>
          <w:rFonts w:ascii="Arial" w:hAnsi="Arial" w:cs="Arial"/>
          <w:b/>
          <w:sz w:val="22"/>
          <w:szCs w:val="22"/>
          <w:u w:val="single"/>
        </w:rPr>
        <w:t>ANNO 2018</w:t>
      </w:r>
    </w:p>
    <w:p w:rsidR="001811EC" w:rsidRDefault="001811EC">
      <w:pPr>
        <w:jc w:val="both"/>
        <w:rPr>
          <w:rFonts w:ascii="Arial" w:hAnsi="Arial" w:cs="Arial"/>
          <w:sz w:val="22"/>
          <w:szCs w:val="22"/>
        </w:rPr>
      </w:pPr>
    </w:p>
    <w:bookmarkStart w:id="78" w:name="_MON_1542706896"/>
    <w:bookmarkEnd w:id="78"/>
    <w:p w:rsidR="001811EC" w:rsidRDefault="002121F5">
      <w:pPr>
        <w:rPr>
          <w:rFonts w:ascii="Arial" w:hAnsi="Arial" w:cs="Arial"/>
          <w:sz w:val="22"/>
          <w:szCs w:val="22"/>
        </w:rPr>
      </w:pPr>
      <w:r w:rsidRPr="00FF759A">
        <w:rPr>
          <w:rFonts w:ascii="Arial" w:hAnsi="Arial" w:cs="Arial"/>
          <w:sz w:val="22"/>
          <w:szCs w:val="22"/>
        </w:rPr>
        <w:object w:dxaOrig="10247" w:dyaOrig="3542">
          <v:shape id="_x0000_i1046" type="#_x0000_t75" style="width:512.4pt;height:176.75pt" o:ole="">
            <v:imagedata r:id="rId171" o:title=""/>
          </v:shape>
          <o:OLEObject Type="Embed" ProgID="Excel.Sheet.12" ShapeID="_x0000_i1046" DrawAspect="Content" ObjectID="_1547620574" r:id="rId172"/>
        </w:object>
      </w:r>
    </w:p>
    <w:p w:rsidR="001811EC" w:rsidRDefault="002121F5">
      <w:pPr>
        <w:rPr>
          <w:rFonts w:ascii="Arial" w:hAnsi="Arial" w:cs="Arial"/>
          <w:b/>
          <w:sz w:val="22"/>
          <w:szCs w:val="22"/>
          <w:u w:val="single"/>
        </w:rPr>
      </w:pPr>
      <w:r>
        <w:rPr>
          <w:rFonts w:ascii="Arial" w:hAnsi="Arial" w:cs="Arial"/>
          <w:b/>
          <w:sz w:val="22"/>
          <w:szCs w:val="22"/>
          <w:u w:val="single"/>
        </w:rPr>
        <w:t xml:space="preserve"> ANNO 2019</w:t>
      </w:r>
    </w:p>
    <w:p w:rsidR="001811EC" w:rsidRDefault="001811EC">
      <w:pPr>
        <w:rPr>
          <w:rFonts w:ascii="Arial" w:hAnsi="Arial" w:cs="Arial"/>
          <w:sz w:val="22"/>
          <w:szCs w:val="22"/>
        </w:rPr>
      </w:pPr>
    </w:p>
    <w:bookmarkStart w:id="79" w:name="_MON_1542706912"/>
    <w:bookmarkEnd w:id="79"/>
    <w:p w:rsidR="001811EC" w:rsidRDefault="002121F5">
      <w:pPr>
        <w:jc w:val="both"/>
        <w:rPr>
          <w:rFonts w:ascii="Arial" w:hAnsi="Arial" w:cs="Arial"/>
          <w:sz w:val="22"/>
          <w:szCs w:val="22"/>
        </w:rPr>
      </w:pPr>
      <w:r w:rsidRPr="00FF759A">
        <w:rPr>
          <w:rFonts w:ascii="Arial" w:hAnsi="Arial" w:cs="Arial"/>
          <w:sz w:val="22"/>
          <w:szCs w:val="22"/>
        </w:rPr>
        <w:object w:dxaOrig="10247" w:dyaOrig="3571">
          <v:shape id="_x0000_i1047" type="#_x0000_t75" style="width:512.4pt;height:179.05pt" o:ole="">
            <v:imagedata r:id="rId173" o:title=""/>
          </v:shape>
          <o:OLEObject Type="Embed" ProgID="Excel.Sheet.12" ShapeID="_x0000_i1047" DrawAspect="Content" ObjectID="_1547620575" r:id="rId174"/>
        </w:object>
      </w:r>
    </w:p>
    <w:p w:rsidR="001811EC" w:rsidRDefault="001811EC">
      <w:pPr>
        <w:jc w:val="both"/>
        <w:rPr>
          <w:rFonts w:ascii="Arial" w:hAnsi="Arial" w:cs="Arial"/>
          <w:sz w:val="22"/>
          <w:szCs w:val="22"/>
        </w:rPr>
      </w:pPr>
    </w:p>
    <w:p w:rsidR="001811EC" w:rsidRDefault="001811EC">
      <w:pPr>
        <w:jc w:val="both"/>
        <w:rPr>
          <w:rFonts w:ascii="Arial" w:hAnsi="Arial" w:cs="Arial"/>
          <w:sz w:val="22"/>
          <w:szCs w:val="22"/>
        </w:rPr>
      </w:pPr>
    </w:p>
    <w:p w:rsidR="00C27228" w:rsidRDefault="00C27228">
      <w:pPr>
        <w:rPr>
          <w:rFonts w:ascii="Arial" w:hAnsi="Arial" w:cs="Arial"/>
          <w:sz w:val="22"/>
          <w:szCs w:val="22"/>
        </w:rPr>
      </w:pPr>
      <w:r>
        <w:rPr>
          <w:rFonts w:ascii="Arial" w:hAnsi="Arial" w:cs="Arial"/>
          <w:sz w:val="22"/>
          <w:szCs w:val="22"/>
        </w:rPr>
        <w:br w:type="page"/>
      </w:r>
    </w:p>
    <w:p w:rsidR="001811EC" w:rsidRDefault="002121F5">
      <w:pPr>
        <w:pStyle w:val="Titolo3"/>
      </w:pPr>
      <w:bookmarkStart w:id="80" w:name="_MON_1497597837"/>
      <w:bookmarkStart w:id="81" w:name="_MON_1513863191"/>
      <w:bookmarkStart w:id="82" w:name="_MON_1513863202"/>
      <w:bookmarkStart w:id="83" w:name="_Toc469216215"/>
      <w:bookmarkEnd w:id="80"/>
      <w:bookmarkEnd w:id="81"/>
      <w:bookmarkEnd w:id="82"/>
      <w:r>
        <w:lastRenderedPageBreak/>
        <w:t>Fondo di riserva di competenza</w:t>
      </w:r>
      <w:bookmarkEnd w:id="83"/>
    </w:p>
    <w:p w:rsidR="001811EC" w:rsidRDefault="002121F5">
      <w:pPr>
        <w:pStyle w:val="Corpodeltesto21"/>
        <w:spacing w:before="120"/>
        <w:rPr>
          <w:rFonts w:cs="Arial"/>
          <w:b w:val="0"/>
          <w:i w:val="0"/>
          <w:sz w:val="22"/>
          <w:szCs w:val="22"/>
        </w:rPr>
      </w:pPr>
      <w:r>
        <w:rPr>
          <w:rFonts w:cs="Arial"/>
          <w:b w:val="0"/>
          <w:i w:val="0"/>
          <w:sz w:val="22"/>
          <w:szCs w:val="22"/>
        </w:rPr>
        <w:t>La consistenza del fondo di riserva ordinario previsto:</w:t>
      </w:r>
    </w:p>
    <w:p w:rsidR="001811EC" w:rsidRDefault="002121F5">
      <w:pPr>
        <w:pStyle w:val="Corpodeltesto21"/>
        <w:spacing w:before="120"/>
        <w:rPr>
          <w:rFonts w:cs="Arial"/>
          <w:b w:val="0"/>
          <w:i w:val="0"/>
          <w:sz w:val="22"/>
          <w:szCs w:val="22"/>
        </w:rPr>
      </w:pPr>
      <w:r>
        <w:rPr>
          <w:rFonts w:cs="Arial"/>
          <w:b w:val="0"/>
          <w:i w:val="0"/>
          <w:sz w:val="22"/>
          <w:szCs w:val="22"/>
        </w:rPr>
        <w:t>anno 2017 - euro ……… pari allo ……% delle spese correnti;</w:t>
      </w:r>
    </w:p>
    <w:p w:rsidR="001811EC" w:rsidRDefault="002121F5">
      <w:pPr>
        <w:pStyle w:val="Corpodeltesto21"/>
        <w:spacing w:before="120"/>
        <w:rPr>
          <w:rFonts w:cs="Arial"/>
          <w:b w:val="0"/>
          <w:i w:val="0"/>
          <w:sz w:val="22"/>
          <w:szCs w:val="22"/>
        </w:rPr>
      </w:pPr>
      <w:r>
        <w:rPr>
          <w:rFonts w:cs="Arial"/>
          <w:b w:val="0"/>
          <w:i w:val="0"/>
          <w:sz w:val="22"/>
          <w:szCs w:val="22"/>
        </w:rPr>
        <w:t>anno 2018 - euro ……… pari allo ……% delle spese correnti;</w:t>
      </w:r>
    </w:p>
    <w:p w:rsidR="001811EC" w:rsidRDefault="002121F5">
      <w:pPr>
        <w:pStyle w:val="Corpodeltesto21"/>
        <w:spacing w:before="120"/>
        <w:rPr>
          <w:rFonts w:cs="Arial"/>
          <w:b w:val="0"/>
          <w:i w:val="0"/>
          <w:sz w:val="22"/>
          <w:szCs w:val="22"/>
        </w:rPr>
      </w:pPr>
      <w:r>
        <w:rPr>
          <w:rFonts w:cs="Arial"/>
          <w:b w:val="0"/>
          <w:i w:val="0"/>
          <w:sz w:val="22"/>
          <w:szCs w:val="22"/>
        </w:rPr>
        <w:t>anno 2019 - euro ……… pari allo ……% delle spese correnti;</w:t>
      </w:r>
    </w:p>
    <w:p w:rsidR="001811EC" w:rsidRDefault="002121F5">
      <w:pPr>
        <w:pStyle w:val="Corpodeltesto21"/>
        <w:spacing w:before="120"/>
        <w:rPr>
          <w:rFonts w:cs="Arial"/>
          <w:b w:val="0"/>
          <w:i w:val="0"/>
          <w:sz w:val="22"/>
          <w:szCs w:val="22"/>
        </w:rPr>
      </w:pPr>
      <w:r>
        <w:rPr>
          <w:rFonts w:cs="Arial"/>
          <w:b w:val="0"/>
          <w:i w:val="0"/>
          <w:sz w:val="22"/>
          <w:szCs w:val="22"/>
        </w:rPr>
        <w:t>rientra nei limiti previsti dall’</w:t>
      </w:r>
      <w:hyperlink r:id="rId175" w:history="1">
        <w:r>
          <w:rPr>
            <w:rStyle w:val="Collegamentoipertestuale"/>
            <w:rFonts w:cs="Arial"/>
            <w:b w:val="0"/>
            <w:i w:val="0"/>
            <w:sz w:val="22"/>
            <w:szCs w:val="22"/>
          </w:rPr>
          <w:t xml:space="preserve">articolo 166 del </w:t>
        </w:r>
        <w:r>
          <w:rPr>
            <w:rStyle w:val="Collegamentoipertestuale"/>
            <w:rFonts w:cs="Arial"/>
            <w:sz w:val="20"/>
          </w:rPr>
          <w:t>TUEL</w:t>
        </w:r>
      </w:hyperlink>
      <w:r>
        <w:rPr>
          <w:rFonts w:cs="Arial"/>
          <w:b w:val="0"/>
          <w:i w:val="0"/>
          <w:sz w:val="22"/>
          <w:szCs w:val="22"/>
        </w:rPr>
        <w:t xml:space="preserve"> ed in quelli previsti dal regolamento di contabilità.</w:t>
      </w:r>
    </w:p>
    <w:p w:rsidR="001811EC" w:rsidRDefault="001811EC">
      <w:pPr>
        <w:autoSpaceDE w:val="0"/>
        <w:autoSpaceDN w:val="0"/>
        <w:adjustRightInd w:val="0"/>
        <w:rPr>
          <w:rFonts w:ascii="Arial" w:hAnsi="Arial" w:cs="Arial"/>
          <w:b/>
          <w:bCs/>
          <w:sz w:val="22"/>
          <w:szCs w:val="22"/>
          <w:u w:val="single"/>
        </w:rPr>
      </w:pPr>
    </w:p>
    <w:p w:rsidR="001811EC" w:rsidRDefault="002121F5">
      <w:pPr>
        <w:pStyle w:val="Titolo3"/>
      </w:pPr>
      <w:bookmarkStart w:id="84" w:name="_Toc469216216"/>
      <w:r>
        <w:t>Fondi per spese potenziali</w:t>
      </w:r>
      <w:bookmarkEnd w:id="84"/>
    </w:p>
    <w:p w:rsidR="001811EC" w:rsidRDefault="001811EC"/>
    <w:p w:rsidR="001811EC" w:rsidRDefault="002121F5">
      <w:pPr>
        <w:autoSpaceDE w:val="0"/>
        <w:autoSpaceDN w:val="0"/>
        <w:adjustRightInd w:val="0"/>
        <w:rPr>
          <w:rFonts w:ascii="Arial" w:hAnsi="Arial" w:cs="Arial"/>
          <w:bCs/>
          <w:sz w:val="22"/>
          <w:szCs w:val="22"/>
        </w:rPr>
      </w:pPr>
      <w:r>
        <w:rPr>
          <w:rFonts w:ascii="Arial" w:hAnsi="Arial" w:cs="Arial"/>
          <w:bCs/>
          <w:sz w:val="22"/>
          <w:szCs w:val="22"/>
        </w:rPr>
        <w:t>Sono previsti accantonamenti per le seguenti passività potenziali (1):</w:t>
      </w:r>
    </w:p>
    <w:p w:rsidR="001811EC" w:rsidRDefault="001811EC">
      <w:pPr>
        <w:autoSpaceDE w:val="0"/>
        <w:autoSpaceDN w:val="0"/>
        <w:adjustRightInd w:val="0"/>
        <w:rPr>
          <w:rFonts w:ascii="Arial" w:hAnsi="Arial" w:cs="Arial"/>
          <w:bCs/>
          <w:sz w:val="22"/>
          <w:szCs w:val="22"/>
        </w:rPr>
      </w:pPr>
    </w:p>
    <w:bookmarkStart w:id="85" w:name="_MON_1542706927"/>
    <w:bookmarkEnd w:id="85"/>
    <w:p w:rsidR="001811EC" w:rsidRDefault="002121F5">
      <w:pPr>
        <w:autoSpaceDE w:val="0"/>
        <w:autoSpaceDN w:val="0"/>
        <w:adjustRightInd w:val="0"/>
        <w:jc w:val="center"/>
        <w:rPr>
          <w:rFonts w:ascii="Arial" w:hAnsi="Arial" w:cs="Arial"/>
          <w:bCs/>
          <w:sz w:val="22"/>
          <w:szCs w:val="22"/>
        </w:rPr>
      </w:pPr>
      <w:r w:rsidRPr="00FF759A">
        <w:rPr>
          <w:rFonts w:ascii="Arial" w:hAnsi="Arial" w:cs="Arial"/>
          <w:bCs/>
          <w:sz w:val="22"/>
          <w:szCs w:val="22"/>
        </w:rPr>
        <w:object w:dxaOrig="8219" w:dyaOrig="2036">
          <v:shape id="_x0000_i1048" type="#_x0000_t75" style="width:410.5pt;height:101.9pt" o:ole="">
            <v:imagedata r:id="rId176" o:title=""/>
          </v:shape>
          <o:OLEObject Type="Embed" ProgID="Excel.Sheet.12" ShapeID="_x0000_i1048" DrawAspect="Content" ObjectID="_1547620576" r:id="rId177"/>
        </w:object>
      </w:r>
    </w:p>
    <w:p w:rsidR="001811EC" w:rsidRDefault="001811EC">
      <w:pPr>
        <w:autoSpaceDE w:val="0"/>
        <w:autoSpaceDN w:val="0"/>
        <w:adjustRightInd w:val="0"/>
        <w:rPr>
          <w:rFonts w:ascii="Arial" w:hAnsi="Arial" w:cs="Arial"/>
          <w:bCs/>
          <w:sz w:val="22"/>
          <w:szCs w:val="22"/>
        </w:rPr>
      </w:pPr>
    </w:p>
    <w:p w:rsidR="001811EC" w:rsidRDefault="002121F5">
      <w:pPr>
        <w:autoSpaceDE w:val="0"/>
        <w:autoSpaceDN w:val="0"/>
        <w:adjustRightInd w:val="0"/>
        <w:rPr>
          <w:rFonts w:ascii="Arial" w:hAnsi="Arial" w:cs="Arial"/>
          <w:bCs/>
          <w:sz w:val="22"/>
          <w:szCs w:val="22"/>
        </w:rPr>
      </w:pPr>
      <w:r>
        <w:rPr>
          <w:rFonts w:ascii="Arial" w:hAnsi="Arial" w:cs="Arial"/>
          <w:bCs/>
          <w:sz w:val="22"/>
          <w:szCs w:val="22"/>
        </w:rPr>
        <w:t>A fine esercizio come disposto dall’</w:t>
      </w:r>
      <w:hyperlink r:id="rId178" w:history="1">
        <w:r>
          <w:rPr>
            <w:rStyle w:val="Collegamentoipertestuale"/>
            <w:rFonts w:ascii="Arial" w:hAnsi="Arial" w:cs="Arial"/>
            <w:bCs/>
            <w:sz w:val="22"/>
            <w:szCs w:val="22"/>
          </w:rPr>
          <w:t>art.167, comma 3 del TUEL</w:t>
        </w:r>
      </w:hyperlink>
      <w:r>
        <w:rPr>
          <w:rFonts w:ascii="Arial" w:hAnsi="Arial" w:cs="Arial"/>
          <w:bCs/>
          <w:sz w:val="22"/>
          <w:szCs w:val="22"/>
        </w:rPr>
        <w:t xml:space="preserve"> le economie di bilancio dovranno confluire nella quota accantonata del risultato di amministrazione.</w:t>
      </w:r>
    </w:p>
    <w:p w:rsidR="001811EC" w:rsidRDefault="001811EC">
      <w:pPr>
        <w:autoSpaceDE w:val="0"/>
        <w:autoSpaceDN w:val="0"/>
        <w:adjustRightInd w:val="0"/>
        <w:rPr>
          <w:rFonts w:ascii="Arial" w:hAnsi="Arial" w:cs="Arial"/>
          <w:bCs/>
          <w:sz w:val="22"/>
          <w:szCs w:val="22"/>
        </w:rPr>
      </w:pPr>
    </w:p>
    <w:p w:rsidR="001811EC" w:rsidRDefault="002121F5">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Cs/>
          <w:i/>
          <w:color w:val="17365D" w:themeColor="text2" w:themeShade="BF"/>
          <w:sz w:val="22"/>
          <w:szCs w:val="22"/>
        </w:rPr>
      </w:pPr>
      <w:r>
        <w:rPr>
          <w:rFonts w:ascii="Arial" w:hAnsi="Arial" w:cs="Arial"/>
          <w:bCs/>
          <w:i/>
          <w:color w:val="17365D" w:themeColor="text2" w:themeShade="BF"/>
          <w:sz w:val="22"/>
          <w:szCs w:val="22"/>
        </w:rPr>
        <w:t>(1)</w:t>
      </w:r>
    </w:p>
    <w:p w:rsidR="001811EC" w:rsidRDefault="002121F5">
      <w:pPr>
        <w:pBdr>
          <w:top w:val="single" w:sz="4" w:space="1" w:color="auto"/>
          <w:left w:val="single" w:sz="4" w:space="4" w:color="auto"/>
          <w:bottom w:val="single" w:sz="4" w:space="1" w:color="auto"/>
          <w:right w:val="single" w:sz="4" w:space="4" w:color="auto"/>
        </w:pBdr>
        <w:jc w:val="both"/>
        <w:rPr>
          <w:rFonts w:ascii="Arial" w:hAnsi="Arial" w:cs="Arial"/>
          <w:i/>
          <w:color w:val="17365D" w:themeColor="text2" w:themeShade="BF"/>
          <w:sz w:val="22"/>
          <w:szCs w:val="22"/>
        </w:rPr>
      </w:pPr>
      <w:r>
        <w:rPr>
          <w:rFonts w:ascii="Arial" w:hAnsi="Arial" w:cs="Arial"/>
          <w:i/>
          <w:color w:val="17365D" w:themeColor="text2" w:themeShade="BF"/>
          <w:sz w:val="22"/>
          <w:szCs w:val="22"/>
        </w:rPr>
        <w:t xml:space="preserve">a) </w:t>
      </w:r>
      <w:r>
        <w:rPr>
          <w:rFonts w:ascii="Arial" w:hAnsi="Arial" w:cs="Arial"/>
          <w:i/>
          <w:color w:val="17365D" w:themeColor="text2" w:themeShade="BF"/>
          <w:sz w:val="22"/>
          <w:szCs w:val="22"/>
          <w:u w:val="single"/>
        </w:rPr>
        <w:t>accantonamenti per contenzioso</w:t>
      </w:r>
      <w:r>
        <w:rPr>
          <w:rFonts w:ascii="Arial" w:hAnsi="Arial" w:cs="Arial"/>
          <w:i/>
          <w:color w:val="17365D" w:themeColor="text2" w:themeShade="BF"/>
          <w:sz w:val="22"/>
          <w:szCs w:val="22"/>
        </w:rPr>
        <w:t xml:space="preserve"> </w:t>
      </w:r>
    </w:p>
    <w:p w:rsidR="001811EC" w:rsidRDefault="002121F5">
      <w:pPr>
        <w:pBdr>
          <w:top w:val="single" w:sz="4" w:space="1" w:color="auto"/>
          <w:left w:val="single" w:sz="4" w:space="4" w:color="auto"/>
          <w:bottom w:val="single" w:sz="4" w:space="1" w:color="auto"/>
          <w:right w:val="single" w:sz="4" w:space="4" w:color="auto"/>
        </w:pBdr>
        <w:jc w:val="both"/>
        <w:rPr>
          <w:rFonts w:ascii="Arial" w:hAnsi="Arial" w:cs="Arial"/>
          <w:i/>
          <w:color w:val="17365D" w:themeColor="text2" w:themeShade="BF"/>
          <w:sz w:val="22"/>
          <w:szCs w:val="22"/>
        </w:rPr>
      </w:pPr>
      <w:r>
        <w:rPr>
          <w:rFonts w:ascii="Arial" w:hAnsi="Arial" w:cs="Arial"/>
          <w:i/>
          <w:color w:val="17365D" w:themeColor="text2" w:themeShade="BF"/>
          <w:sz w:val="22"/>
          <w:szCs w:val="22"/>
        </w:rPr>
        <w:t>sulla base del punto 5.2 lettera h) del principio contabile applicato alla contabilità finanziaria (</w:t>
      </w:r>
      <w:hyperlink r:id="rId179" w:history="1">
        <w:r>
          <w:rPr>
            <w:rStyle w:val="Collegamentoipertestuale"/>
            <w:rFonts w:ascii="Arial" w:hAnsi="Arial" w:cs="Arial"/>
            <w:i/>
            <w:sz w:val="22"/>
            <w:szCs w:val="22"/>
          </w:rPr>
          <w:t>allegato 4.2</w:t>
        </w:r>
      </w:hyperlink>
      <w:r>
        <w:rPr>
          <w:rFonts w:ascii="Arial" w:hAnsi="Arial" w:cs="Arial"/>
          <w:i/>
          <w:color w:val="17365D" w:themeColor="text2" w:themeShade="BF"/>
          <w:sz w:val="22"/>
          <w:szCs w:val="22"/>
        </w:rPr>
        <w:t xml:space="preserve"> al </w:t>
      </w:r>
      <w:hyperlink r:id="rId180" w:history="1">
        <w:proofErr w:type="spellStart"/>
        <w:r>
          <w:rPr>
            <w:rStyle w:val="Collegamentoipertestuale"/>
            <w:rFonts w:ascii="Arial" w:hAnsi="Arial" w:cs="Arial"/>
            <w:i/>
            <w:sz w:val="22"/>
            <w:szCs w:val="22"/>
          </w:rPr>
          <w:t>D.Lgs.</w:t>
        </w:r>
        <w:proofErr w:type="spellEnd"/>
        <w:r>
          <w:rPr>
            <w:rStyle w:val="Collegamentoipertestuale"/>
            <w:rFonts w:ascii="Arial" w:hAnsi="Arial" w:cs="Arial"/>
            <w:i/>
            <w:sz w:val="22"/>
            <w:szCs w:val="22"/>
          </w:rPr>
          <w:t xml:space="preserve"> 118/2011</w:t>
        </w:r>
      </w:hyperlink>
      <w:r>
        <w:rPr>
          <w:rFonts w:ascii="Arial" w:hAnsi="Arial" w:cs="Arial"/>
          <w:i/>
          <w:color w:val="17365D" w:themeColor="text2" w:themeShade="BF"/>
          <w:sz w:val="22"/>
          <w:szCs w:val="22"/>
        </w:rPr>
        <w:t>);</w:t>
      </w:r>
    </w:p>
    <w:p w:rsidR="001811EC" w:rsidRDefault="002121F5">
      <w:pPr>
        <w:pBdr>
          <w:top w:val="single" w:sz="4" w:space="1" w:color="auto"/>
          <w:left w:val="single" w:sz="4" w:space="4" w:color="auto"/>
          <w:bottom w:val="single" w:sz="4" w:space="1" w:color="auto"/>
          <w:right w:val="single" w:sz="4" w:space="4" w:color="auto"/>
        </w:pBdr>
        <w:jc w:val="both"/>
        <w:rPr>
          <w:rFonts w:ascii="Arial" w:hAnsi="Arial" w:cs="Arial"/>
          <w:i/>
          <w:color w:val="17365D" w:themeColor="text2" w:themeShade="BF"/>
          <w:sz w:val="22"/>
          <w:szCs w:val="22"/>
        </w:rPr>
      </w:pPr>
      <w:r>
        <w:rPr>
          <w:rFonts w:ascii="Arial" w:hAnsi="Arial" w:cs="Arial"/>
          <w:i/>
          <w:color w:val="17365D" w:themeColor="text2" w:themeShade="BF"/>
          <w:sz w:val="22"/>
          <w:szCs w:val="22"/>
        </w:rPr>
        <w:t xml:space="preserve">b) </w:t>
      </w:r>
      <w:r>
        <w:rPr>
          <w:rFonts w:ascii="Arial" w:hAnsi="Arial" w:cs="Arial"/>
          <w:i/>
          <w:color w:val="17365D" w:themeColor="text2" w:themeShade="BF"/>
          <w:sz w:val="22"/>
          <w:szCs w:val="22"/>
          <w:u w:val="single"/>
        </w:rPr>
        <w:t>accantonamenti per indennità fine mandato</w:t>
      </w:r>
    </w:p>
    <w:p w:rsidR="001811EC" w:rsidRDefault="002121F5">
      <w:pPr>
        <w:pBdr>
          <w:top w:val="single" w:sz="4" w:space="1" w:color="auto"/>
          <w:left w:val="single" w:sz="4" w:space="4" w:color="auto"/>
          <w:bottom w:val="single" w:sz="4" w:space="1" w:color="auto"/>
          <w:right w:val="single" w:sz="4" w:space="4" w:color="auto"/>
        </w:pBdr>
        <w:jc w:val="both"/>
        <w:rPr>
          <w:rFonts w:ascii="Arial" w:hAnsi="Arial" w:cs="Arial"/>
          <w:i/>
          <w:color w:val="17365D" w:themeColor="text2" w:themeShade="BF"/>
          <w:sz w:val="22"/>
          <w:szCs w:val="22"/>
        </w:rPr>
      </w:pPr>
      <w:r>
        <w:rPr>
          <w:rFonts w:ascii="Arial" w:hAnsi="Arial" w:cs="Arial"/>
          <w:i/>
          <w:color w:val="17365D" w:themeColor="text2" w:themeShade="BF"/>
          <w:sz w:val="22"/>
          <w:szCs w:val="22"/>
        </w:rPr>
        <w:t>sulla base del punto 5.2 lettera i) del principio contabile applicato alla contabilità finanziaria (</w:t>
      </w:r>
      <w:hyperlink r:id="rId181" w:history="1">
        <w:r>
          <w:rPr>
            <w:rStyle w:val="Collegamentoipertestuale"/>
            <w:rFonts w:ascii="Arial" w:hAnsi="Arial" w:cs="Arial"/>
            <w:i/>
            <w:sz w:val="22"/>
            <w:szCs w:val="22"/>
          </w:rPr>
          <w:t>allegato 4.2</w:t>
        </w:r>
      </w:hyperlink>
      <w:r>
        <w:rPr>
          <w:rFonts w:ascii="Arial" w:hAnsi="Arial" w:cs="Arial"/>
          <w:i/>
          <w:color w:val="17365D" w:themeColor="text2" w:themeShade="BF"/>
          <w:sz w:val="22"/>
          <w:szCs w:val="22"/>
        </w:rPr>
        <w:t xml:space="preserve"> al </w:t>
      </w:r>
      <w:hyperlink r:id="rId182" w:history="1">
        <w:r>
          <w:rPr>
            <w:rStyle w:val="Collegamentoipertestuale"/>
            <w:rFonts w:ascii="Arial" w:hAnsi="Arial" w:cs="Arial"/>
            <w:i/>
            <w:sz w:val="22"/>
            <w:szCs w:val="22"/>
          </w:rPr>
          <w:t>D.Lgs.118/2011</w:t>
        </w:r>
      </w:hyperlink>
      <w:r>
        <w:rPr>
          <w:rFonts w:ascii="Arial" w:hAnsi="Arial" w:cs="Arial"/>
          <w:i/>
          <w:color w:val="17365D" w:themeColor="text2" w:themeShade="BF"/>
          <w:sz w:val="22"/>
          <w:szCs w:val="22"/>
        </w:rPr>
        <w:t>);</w:t>
      </w:r>
    </w:p>
    <w:p w:rsidR="001811EC" w:rsidRPr="00C27228" w:rsidRDefault="002121F5">
      <w:pPr>
        <w:pBdr>
          <w:top w:val="single" w:sz="4" w:space="1" w:color="auto"/>
          <w:left w:val="single" w:sz="4" w:space="4" w:color="auto"/>
          <w:bottom w:val="single" w:sz="4" w:space="1" w:color="auto"/>
          <w:right w:val="single" w:sz="4" w:space="4" w:color="auto"/>
        </w:pBdr>
        <w:jc w:val="both"/>
        <w:rPr>
          <w:rFonts w:ascii="Arial" w:hAnsi="Arial" w:cs="Arial"/>
          <w:i/>
          <w:color w:val="17365D" w:themeColor="text2" w:themeShade="BF"/>
          <w:sz w:val="22"/>
          <w:szCs w:val="22"/>
          <w:highlight w:val="yellow"/>
        </w:rPr>
      </w:pPr>
      <w:r w:rsidRPr="00C27228">
        <w:rPr>
          <w:rFonts w:ascii="Arial" w:hAnsi="Arial" w:cs="Arial"/>
          <w:i/>
          <w:color w:val="17365D" w:themeColor="text2" w:themeShade="BF"/>
          <w:sz w:val="22"/>
          <w:szCs w:val="22"/>
          <w:highlight w:val="yellow"/>
        </w:rPr>
        <w:t xml:space="preserve">c) </w:t>
      </w:r>
      <w:r w:rsidRPr="00C27228">
        <w:rPr>
          <w:rFonts w:ascii="Arial" w:hAnsi="Arial" w:cs="Arial"/>
          <w:i/>
          <w:color w:val="17365D" w:themeColor="text2" w:themeShade="BF"/>
          <w:sz w:val="22"/>
          <w:szCs w:val="22"/>
          <w:highlight w:val="yellow"/>
          <w:u w:val="single"/>
        </w:rPr>
        <w:t>accantonamenti a copertura di perdite organismi partecipati</w:t>
      </w:r>
    </w:p>
    <w:p w:rsidR="001811EC" w:rsidRDefault="002121F5">
      <w:pPr>
        <w:pBdr>
          <w:top w:val="single" w:sz="4" w:space="1" w:color="auto"/>
          <w:left w:val="single" w:sz="4" w:space="4" w:color="auto"/>
          <w:bottom w:val="single" w:sz="4" w:space="1" w:color="auto"/>
          <w:right w:val="single" w:sz="4" w:space="4" w:color="auto"/>
        </w:pBdr>
        <w:rPr>
          <w:rFonts w:ascii="Arial" w:hAnsi="Arial" w:cs="Arial"/>
          <w:i/>
          <w:color w:val="17365D" w:themeColor="text2" w:themeShade="BF"/>
          <w:sz w:val="22"/>
          <w:szCs w:val="22"/>
        </w:rPr>
      </w:pPr>
      <w:r w:rsidRPr="00C27228">
        <w:rPr>
          <w:rFonts w:ascii="Arial" w:hAnsi="Arial" w:cs="Arial"/>
          <w:i/>
          <w:color w:val="17365D" w:themeColor="text2" w:themeShade="BF"/>
          <w:sz w:val="22"/>
          <w:szCs w:val="22"/>
          <w:highlight w:val="yellow"/>
        </w:rPr>
        <w:t xml:space="preserve">sulla base di quanto disposto dal comma 552 dell’art.1 della </w:t>
      </w:r>
      <w:hyperlink r:id="rId183" w:history="1">
        <w:r w:rsidRPr="00C27228">
          <w:rPr>
            <w:rStyle w:val="Collegamentoipertestuale"/>
            <w:rFonts w:ascii="Arial" w:hAnsi="Arial" w:cs="Arial"/>
            <w:i/>
            <w:sz w:val="22"/>
            <w:szCs w:val="22"/>
            <w:highlight w:val="yellow"/>
          </w:rPr>
          <w:t>Legge 147/2013</w:t>
        </w:r>
      </w:hyperlink>
      <w:r w:rsidRPr="00C27228">
        <w:rPr>
          <w:rFonts w:ascii="Arial" w:hAnsi="Arial" w:cs="Arial"/>
          <w:i/>
          <w:color w:val="17365D" w:themeColor="text2" w:themeShade="BF"/>
          <w:sz w:val="22"/>
          <w:szCs w:val="22"/>
          <w:highlight w:val="yellow"/>
        </w:rPr>
        <w:t xml:space="preserve"> e dall’</w:t>
      </w:r>
      <w:hyperlink r:id="rId184" w:history="1">
        <w:r w:rsidRPr="00C27228">
          <w:rPr>
            <w:rStyle w:val="Collegamentoipertestuale"/>
            <w:rFonts w:ascii="Arial" w:hAnsi="Arial" w:cs="Arial"/>
            <w:i/>
            <w:sz w:val="22"/>
            <w:szCs w:val="22"/>
            <w:highlight w:val="yellow"/>
          </w:rPr>
          <w:t xml:space="preserve">art. 21 commi 1 e 2 del </w:t>
        </w:r>
        <w:proofErr w:type="spellStart"/>
        <w:r w:rsidRPr="00C27228">
          <w:rPr>
            <w:rStyle w:val="Collegamentoipertestuale"/>
            <w:rFonts w:ascii="Arial" w:hAnsi="Arial" w:cs="Arial"/>
            <w:i/>
            <w:sz w:val="22"/>
            <w:szCs w:val="22"/>
            <w:highlight w:val="yellow"/>
          </w:rPr>
          <w:t>D.Lgs.</w:t>
        </w:r>
        <w:proofErr w:type="spellEnd"/>
        <w:r w:rsidRPr="00C27228">
          <w:rPr>
            <w:rStyle w:val="Collegamentoipertestuale"/>
            <w:rFonts w:ascii="Arial" w:hAnsi="Arial" w:cs="Arial"/>
            <w:i/>
            <w:sz w:val="22"/>
            <w:szCs w:val="22"/>
            <w:highlight w:val="yellow"/>
          </w:rPr>
          <w:t xml:space="preserve"> 19/8/2016 n.175</w:t>
        </w:r>
      </w:hyperlink>
      <w:r w:rsidRPr="00C27228">
        <w:rPr>
          <w:rFonts w:ascii="Arial" w:hAnsi="Arial" w:cs="Arial"/>
          <w:i/>
          <w:sz w:val="22"/>
          <w:szCs w:val="22"/>
          <w:highlight w:val="yellow"/>
        </w:rPr>
        <w:t xml:space="preserve"> </w:t>
      </w:r>
      <w:r w:rsidRPr="00C27228">
        <w:rPr>
          <w:rFonts w:ascii="Arial" w:hAnsi="Arial" w:cs="Arial"/>
          <w:i/>
          <w:color w:val="17365D" w:themeColor="text2" w:themeShade="BF"/>
          <w:sz w:val="22"/>
          <w:szCs w:val="22"/>
          <w:highlight w:val="yellow"/>
        </w:rPr>
        <w:t>e di quanto dettagliato in seguito nella parte relativa agli organismi partecipati</w:t>
      </w:r>
      <w:r>
        <w:rPr>
          <w:rFonts w:ascii="Arial" w:hAnsi="Arial" w:cs="Arial"/>
          <w:i/>
          <w:color w:val="17365D" w:themeColor="text2" w:themeShade="BF"/>
          <w:sz w:val="22"/>
          <w:szCs w:val="22"/>
        </w:rPr>
        <w:t>.</w:t>
      </w:r>
    </w:p>
    <w:p w:rsidR="001811EC" w:rsidRDefault="001811EC">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Cs/>
          <w:i/>
          <w:color w:val="17365D" w:themeColor="text2" w:themeShade="BF"/>
          <w:sz w:val="22"/>
          <w:szCs w:val="22"/>
        </w:rPr>
      </w:pPr>
    </w:p>
    <w:p w:rsidR="001811EC" w:rsidRDefault="001811EC">
      <w:pPr>
        <w:rPr>
          <w:rFonts w:ascii="Arial" w:hAnsi="Arial" w:cs="Arial"/>
        </w:rPr>
      </w:pPr>
      <w:bookmarkStart w:id="86" w:name="_ORGANISMI_PARTECIPATI"/>
      <w:bookmarkStart w:id="87" w:name="_Toc346838833"/>
      <w:bookmarkEnd w:id="86"/>
    </w:p>
    <w:p w:rsidR="001811EC" w:rsidRDefault="002121F5">
      <w:pPr>
        <w:rPr>
          <w:rFonts w:ascii="Arial" w:hAnsi="Arial" w:cs="Arial"/>
          <w:sz w:val="22"/>
          <w:szCs w:val="22"/>
        </w:rPr>
      </w:pPr>
      <w:r>
        <w:rPr>
          <w:rFonts w:ascii="Arial" w:hAnsi="Arial" w:cs="Arial"/>
          <w:sz w:val="22"/>
          <w:szCs w:val="22"/>
        </w:rPr>
        <w:t>In particolare a fronte di una passività potenziale probabile per contenzioso valutata in euro………. l’ente ha vincolato attività potenzialmente alienabili per euro……………, risultato d’amministrazione di esercizi precedenti per euro ……….. e le previsioni di cui nel prospetto precedente.</w:t>
      </w:r>
    </w:p>
    <w:p w:rsidR="001811EC" w:rsidRDefault="001811EC">
      <w:pPr>
        <w:rPr>
          <w:rFonts w:ascii="Arial" w:hAnsi="Arial" w:cs="Arial"/>
        </w:rPr>
      </w:pPr>
    </w:p>
    <w:p w:rsidR="001811EC" w:rsidRDefault="002121F5">
      <w:pPr>
        <w:pStyle w:val="Titolo3"/>
      </w:pPr>
      <w:bookmarkStart w:id="88" w:name="_Toc469216217"/>
      <w:r>
        <w:t>Fondo di riserva di cassa</w:t>
      </w:r>
      <w:bookmarkEnd w:id="88"/>
    </w:p>
    <w:p w:rsidR="001811EC" w:rsidRDefault="002121F5">
      <w:pPr>
        <w:pStyle w:val="provvr0"/>
        <w:rPr>
          <w:rFonts w:ascii="Arial" w:hAnsi="Arial" w:cs="Arial"/>
          <w:i/>
          <w:color w:val="17365D" w:themeColor="text2" w:themeShade="BF"/>
          <w:sz w:val="22"/>
          <w:szCs w:val="22"/>
        </w:rPr>
      </w:pPr>
      <w:r>
        <w:rPr>
          <w:rFonts w:ascii="Arial" w:hAnsi="Arial" w:cs="Arial"/>
          <w:sz w:val="22"/>
          <w:szCs w:val="22"/>
        </w:rPr>
        <w:t>La consistenza del fondo di riserva di cassa rientra nei limiti di cui all’</w:t>
      </w:r>
      <w:hyperlink r:id="rId185" w:history="1">
        <w:r>
          <w:rPr>
            <w:rStyle w:val="Collegamentoipertestuale"/>
            <w:rFonts w:ascii="Arial" w:hAnsi="Arial" w:cs="Arial"/>
            <w:sz w:val="22"/>
            <w:szCs w:val="22"/>
          </w:rPr>
          <w:t>art. 166, comma 2 quater del TUEL</w:t>
        </w:r>
      </w:hyperlink>
      <w:r>
        <w:rPr>
          <w:rFonts w:ascii="Arial" w:hAnsi="Arial" w:cs="Arial"/>
          <w:sz w:val="22"/>
          <w:szCs w:val="22"/>
        </w:rPr>
        <w:t xml:space="preserve">. </w:t>
      </w:r>
      <w:r>
        <w:rPr>
          <w:rFonts w:ascii="Arial" w:hAnsi="Arial" w:cs="Arial"/>
          <w:i/>
          <w:color w:val="17365D" w:themeColor="text2" w:themeShade="BF"/>
          <w:sz w:val="22"/>
          <w:szCs w:val="22"/>
        </w:rPr>
        <w:t>(non inferiore allo 0,2 per cento delle spese finali)</w:t>
      </w:r>
    </w:p>
    <w:p w:rsidR="001811EC" w:rsidRDefault="001811EC">
      <w:pPr>
        <w:pStyle w:val="provvr0"/>
        <w:rPr>
          <w:rFonts w:ascii="Arial" w:hAnsi="Arial" w:cs="Arial"/>
          <w:i/>
          <w:color w:val="17365D" w:themeColor="text2" w:themeShade="BF"/>
          <w:sz w:val="22"/>
          <w:szCs w:val="22"/>
        </w:rPr>
      </w:pPr>
    </w:p>
    <w:p w:rsidR="001811EC" w:rsidRDefault="001811EC">
      <w:pPr>
        <w:pStyle w:val="provvr0"/>
        <w:rPr>
          <w:rFonts w:ascii="Arial" w:hAnsi="Arial" w:cs="Arial"/>
          <w:i/>
          <w:color w:val="17365D" w:themeColor="text2" w:themeShade="BF"/>
          <w:sz w:val="22"/>
          <w:szCs w:val="22"/>
        </w:rPr>
      </w:pPr>
    </w:p>
    <w:p w:rsidR="001811EC" w:rsidRDefault="001811EC">
      <w:pPr>
        <w:pStyle w:val="provvr0"/>
        <w:rPr>
          <w:rFonts w:ascii="Arial" w:hAnsi="Arial" w:cs="Arial"/>
          <w:i/>
          <w:color w:val="17365D" w:themeColor="text2" w:themeShade="BF"/>
          <w:sz w:val="22"/>
          <w:szCs w:val="22"/>
        </w:rPr>
      </w:pPr>
    </w:p>
    <w:p w:rsidR="001811EC" w:rsidRDefault="002121F5">
      <w:pPr>
        <w:pStyle w:val="Titolo1"/>
        <w:shd w:val="clear" w:color="auto" w:fill="B6DDE8" w:themeFill="accent5" w:themeFillTint="66"/>
      </w:pPr>
      <w:bookmarkStart w:id="89" w:name="_Toc469216218"/>
      <w:r>
        <w:lastRenderedPageBreak/>
        <w:t>ORGANISMI PARTECIPATI</w:t>
      </w:r>
      <w:bookmarkEnd w:id="89"/>
    </w:p>
    <w:p w:rsidR="001811EC" w:rsidRDefault="002121F5">
      <w:pPr>
        <w:pStyle w:val="BodyText21"/>
        <w:spacing w:before="120"/>
        <w:rPr>
          <w:rFonts w:cs="Arial"/>
          <w:b w:val="0"/>
          <w:i w:val="0"/>
          <w:sz w:val="22"/>
          <w:szCs w:val="22"/>
        </w:rPr>
      </w:pPr>
      <w:r>
        <w:rPr>
          <w:rFonts w:cs="Arial"/>
          <w:b w:val="0"/>
          <w:i w:val="0"/>
          <w:sz w:val="22"/>
          <w:szCs w:val="22"/>
        </w:rPr>
        <w:t>Nel corso del 2016 l’ente ha provveduto ad esternalizzare i seguenti servizi:…………..</w:t>
      </w:r>
    </w:p>
    <w:p w:rsidR="001811EC" w:rsidRDefault="002121F5">
      <w:pPr>
        <w:pStyle w:val="BodyText21"/>
        <w:spacing w:before="120"/>
        <w:rPr>
          <w:rFonts w:cs="Arial"/>
          <w:b w:val="0"/>
          <w:i w:val="0"/>
          <w:sz w:val="22"/>
          <w:szCs w:val="22"/>
        </w:rPr>
      </w:pPr>
      <w:r>
        <w:rPr>
          <w:rFonts w:cs="Arial"/>
          <w:b w:val="0"/>
          <w:i w:val="0"/>
          <w:sz w:val="22"/>
          <w:szCs w:val="22"/>
        </w:rPr>
        <w:t xml:space="preserve">L’ente ha adottato i provvedimenti di trasferimento delle risorse umane, finanziarie e strumentali in misura adeguata alle funzioni esternalizzate. </w:t>
      </w:r>
    </w:p>
    <w:p w:rsidR="001811EC" w:rsidRDefault="002121F5">
      <w:pPr>
        <w:pStyle w:val="BodyText21"/>
        <w:spacing w:before="120"/>
        <w:rPr>
          <w:rFonts w:cs="Arial"/>
          <w:b w:val="0"/>
          <w:i w:val="0"/>
          <w:sz w:val="22"/>
          <w:szCs w:val="22"/>
        </w:rPr>
      </w:pPr>
      <w:r>
        <w:rPr>
          <w:rFonts w:cs="Arial"/>
          <w:b w:val="0"/>
          <w:i w:val="0"/>
          <w:sz w:val="22"/>
          <w:szCs w:val="22"/>
        </w:rPr>
        <w:t>Per gli anni dal 2017 al 2019, l’ente prevede di esternalizzare i seguenti servizi:………………………..</w:t>
      </w:r>
    </w:p>
    <w:p w:rsidR="001811EC" w:rsidRDefault="002121F5">
      <w:pPr>
        <w:pStyle w:val="BodyText21"/>
        <w:spacing w:before="120"/>
        <w:rPr>
          <w:rFonts w:cs="Arial"/>
          <w:b w:val="0"/>
          <w:i w:val="0"/>
          <w:sz w:val="22"/>
          <w:szCs w:val="22"/>
        </w:rPr>
      </w:pPr>
      <w:r>
        <w:rPr>
          <w:rFonts w:cs="Arial"/>
          <w:b w:val="0"/>
          <w:i w:val="0"/>
          <w:sz w:val="22"/>
          <w:szCs w:val="22"/>
        </w:rPr>
        <w:t>Tale previsione comporterà trasferimento delle risorse umane, finanziarie e strumentali in misura adeguata alle funzioni esternalizzate con conseguente riduzione della dotazione organica, come disposto dal comma 30 dell’</w:t>
      </w:r>
      <w:hyperlink r:id="rId186" w:history="1">
        <w:r>
          <w:rPr>
            <w:rStyle w:val="Collegamentoipertestuale"/>
            <w:rFonts w:cs="Arial"/>
            <w:b w:val="0"/>
            <w:i w:val="0"/>
            <w:sz w:val="22"/>
            <w:szCs w:val="22"/>
          </w:rPr>
          <w:t>art.3 della Legge 244/2007</w:t>
        </w:r>
      </w:hyperlink>
      <w:r>
        <w:rPr>
          <w:rFonts w:cs="Arial"/>
          <w:b w:val="0"/>
          <w:i w:val="0"/>
          <w:sz w:val="22"/>
          <w:szCs w:val="22"/>
        </w:rPr>
        <w:t>.</w:t>
      </w:r>
    </w:p>
    <w:p w:rsidR="001811EC" w:rsidRDefault="002121F5">
      <w:pPr>
        <w:pStyle w:val="BodyText21"/>
        <w:spacing w:before="120"/>
        <w:rPr>
          <w:rFonts w:cs="Arial"/>
          <w:b w:val="0"/>
          <w:i w:val="0"/>
          <w:sz w:val="22"/>
          <w:szCs w:val="22"/>
        </w:rPr>
      </w:pPr>
      <w:r>
        <w:rPr>
          <w:rFonts w:cs="Arial"/>
          <w:b w:val="0"/>
          <w:i w:val="0"/>
          <w:sz w:val="22"/>
          <w:szCs w:val="22"/>
        </w:rPr>
        <w:t>L’onere a carico del bilancio del Comune per i servizi esternalizzati è così previsto nel bilancio 2017-2019:</w:t>
      </w:r>
    </w:p>
    <w:p w:rsidR="001811EC" w:rsidRDefault="002121F5">
      <w:pPr>
        <w:pStyle w:val="BodyText21"/>
        <w:spacing w:before="120"/>
        <w:rPr>
          <w:rFonts w:cs="Arial"/>
          <w:b w:val="0"/>
          <w:i w:val="0"/>
          <w:color w:val="0000FF"/>
          <w:sz w:val="22"/>
          <w:szCs w:val="22"/>
        </w:rPr>
      </w:pPr>
      <w:r>
        <w:rPr>
          <w:rFonts w:cs="Arial"/>
          <w:b w:val="0"/>
          <w:i w:val="0"/>
          <w:sz w:val="22"/>
          <w:szCs w:val="22"/>
        </w:rPr>
        <w:t xml:space="preserve">organismo……………………. </w:t>
      </w:r>
      <w:r>
        <w:rPr>
          <w:rFonts w:cs="Arial"/>
          <w:b w:val="0"/>
          <w:i w:val="0"/>
          <w:color w:val="0000FF"/>
          <w:sz w:val="22"/>
          <w:szCs w:val="22"/>
        </w:rPr>
        <w:t>(compilare una colonna per ogni servizio organismo)</w:t>
      </w:r>
    </w:p>
    <w:p w:rsidR="001811EC" w:rsidRDefault="001811EC">
      <w:pPr>
        <w:pStyle w:val="BodyText21"/>
        <w:spacing w:before="120"/>
        <w:rPr>
          <w:rFonts w:cs="Arial"/>
          <w:b w:val="0"/>
          <w:i w:val="0"/>
          <w:color w:val="0000FF"/>
          <w:sz w:val="20"/>
        </w:rPr>
      </w:pPr>
    </w:p>
    <w:bookmarkStart w:id="90" w:name="_MON_1483763660"/>
    <w:bookmarkEnd w:id="90"/>
    <w:p w:rsidR="001811EC" w:rsidRDefault="002121F5">
      <w:pPr>
        <w:pStyle w:val="BodyText21"/>
        <w:spacing w:before="120"/>
        <w:jc w:val="center"/>
        <w:rPr>
          <w:rFonts w:cs="Arial"/>
          <w:b w:val="0"/>
          <w:i w:val="0"/>
          <w:color w:val="0000FF"/>
          <w:sz w:val="20"/>
        </w:rPr>
      </w:pPr>
      <w:r w:rsidRPr="00FF759A">
        <w:rPr>
          <w:rFonts w:cs="Arial"/>
          <w:b w:val="0"/>
          <w:i w:val="0"/>
          <w:color w:val="0000FF"/>
          <w:sz w:val="20"/>
        </w:rPr>
        <w:object w:dxaOrig="8603" w:dyaOrig="3188">
          <v:shape id="_x0000_i1049" type="#_x0000_t75" style="width:428.75pt;height:158.5pt" o:ole="">
            <v:imagedata r:id="rId187" o:title=""/>
          </v:shape>
          <o:OLEObject Type="Embed" ProgID="Excel.Sheet.8" ShapeID="_x0000_i1049" DrawAspect="Content" ObjectID="_1547620577" r:id="rId188"/>
        </w:object>
      </w:r>
    </w:p>
    <w:p w:rsidR="001811EC" w:rsidRDefault="002121F5">
      <w:pPr>
        <w:pStyle w:val="BodyText21"/>
        <w:spacing w:before="120"/>
        <w:rPr>
          <w:rFonts w:cs="Arial"/>
          <w:b w:val="0"/>
          <w:i w:val="0"/>
          <w:sz w:val="22"/>
          <w:szCs w:val="22"/>
        </w:rPr>
      </w:pPr>
      <w:r>
        <w:rPr>
          <w:rFonts w:cs="Arial"/>
          <w:b w:val="0"/>
          <w:i w:val="0"/>
          <w:sz w:val="22"/>
          <w:szCs w:val="22"/>
        </w:rPr>
        <w:t xml:space="preserve">Tutti gli organismi partecipati hanno approvato il bilancio d’esercizio al 31/12/2015 </w:t>
      </w:r>
      <w:r>
        <w:rPr>
          <w:rFonts w:cs="Arial"/>
          <w:b w:val="0"/>
          <w:i w:val="0"/>
          <w:color w:val="0000FF"/>
          <w:sz w:val="22"/>
          <w:szCs w:val="22"/>
        </w:rPr>
        <w:t>(indicare l’eventuale</w:t>
      </w:r>
      <w:r>
        <w:rPr>
          <w:rFonts w:cs="Arial"/>
          <w:color w:val="0070C0"/>
          <w:sz w:val="22"/>
          <w:szCs w:val="22"/>
        </w:rPr>
        <w:t xml:space="preserve"> </w:t>
      </w:r>
      <w:r>
        <w:rPr>
          <w:rFonts w:cs="Arial"/>
          <w:b w:val="0"/>
          <w:i w:val="0"/>
          <w:color w:val="0000FF"/>
          <w:sz w:val="22"/>
          <w:szCs w:val="22"/>
        </w:rPr>
        <w:t>diverso termine</w:t>
      </w:r>
      <w:r>
        <w:rPr>
          <w:rFonts w:cs="Arial"/>
          <w:b w:val="0"/>
          <w:sz w:val="22"/>
          <w:szCs w:val="22"/>
        </w:rPr>
        <w:t>)</w:t>
      </w:r>
      <w:r>
        <w:rPr>
          <w:rFonts w:cs="Arial"/>
          <w:b w:val="0"/>
          <w:i w:val="0"/>
          <w:sz w:val="22"/>
          <w:szCs w:val="22"/>
        </w:rPr>
        <w:t>, e tale documento è allegato al bilancio di previsione.</w:t>
      </w:r>
    </w:p>
    <w:p w:rsidR="001811EC" w:rsidRDefault="002121F5">
      <w:pPr>
        <w:pStyle w:val="BodyText21"/>
        <w:spacing w:before="120"/>
        <w:rPr>
          <w:rFonts w:cs="Arial"/>
          <w:b w:val="0"/>
          <w:i w:val="0"/>
          <w:sz w:val="22"/>
          <w:szCs w:val="22"/>
        </w:rPr>
      </w:pPr>
      <w:r>
        <w:rPr>
          <w:rFonts w:cs="Arial"/>
          <w:b w:val="0"/>
          <w:i w:val="0"/>
          <w:sz w:val="22"/>
          <w:szCs w:val="22"/>
        </w:rPr>
        <w:t xml:space="preserve">I seguenti organismi partecipati nell’ultimo bilancio approvato presentano perdite che richiedono gli interventi di cui all’art. 2447 del </w:t>
      </w:r>
      <w:hyperlink r:id="rId189" w:history="1">
        <w:r>
          <w:rPr>
            <w:rStyle w:val="Collegamentoipertestuale"/>
            <w:rFonts w:cs="Arial"/>
            <w:b w:val="0"/>
            <w:i w:val="0"/>
            <w:sz w:val="22"/>
            <w:szCs w:val="22"/>
          </w:rPr>
          <w:t>codice civile</w:t>
        </w:r>
      </w:hyperlink>
      <w:r>
        <w:rPr>
          <w:rFonts w:cs="Arial"/>
          <w:b w:val="0"/>
          <w:i w:val="0"/>
          <w:sz w:val="22"/>
          <w:szCs w:val="22"/>
        </w:rPr>
        <w:t>:………………………………………</w:t>
      </w:r>
    </w:p>
    <w:p w:rsidR="001811EC" w:rsidRDefault="002121F5">
      <w:pPr>
        <w:pStyle w:val="BodyText21"/>
        <w:spacing w:before="120"/>
        <w:rPr>
          <w:rFonts w:cs="Arial"/>
          <w:b w:val="0"/>
          <w:i w:val="0"/>
          <w:sz w:val="22"/>
          <w:szCs w:val="22"/>
        </w:rPr>
      </w:pPr>
      <w:r>
        <w:rPr>
          <w:rFonts w:cs="Arial"/>
          <w:b w:val="0"/>
          <w:i w:val="0"/>
          <w:sz w:val="22"/>
          <w:szCs w:val="22"/>
        </w:rPr>
        <w:t>La quota a carico del Comune per tali interventi è stata finanziata nel bilancio 2016.</w:t>
      </w:r>
    </w:p>
    <w:p w:rsidR="001811EC" w:rsidRDefault="002121F5">
      <w:pPr>
        <w:pStyle w:val="BodyText21"/>
        <w:pBdr>
          <w:top w:val="outset" w:sz="6" w:space="1" w:color="auto"/>
          <w:left w:val="outset" w:sz="6" w:space="4" w:color="auto"/>
          <w:bottom w:val="inset" w:sz="6" w:space="1" w:color="auto"/>
          <w:right w:val="inset" w:sz="6" w:space="4" w:color="auto"/>
        </w:pBdr>
        <w:spacing w:before="120"/>
        <w:jc w:val="center"/>
        <w:rPr>
          <w:rFonts w:cs="Arial"/>
          <w:b w:val="0"/>
          <w:color w:val="0000FF"/>
          <w:sz w:val="20"/>
        </w:rPr>
      </w:pPr>
      <w:r>
        <w:rPr>
          <w:rFonts w:cs="Arial"/>
          <w:color w:val="0000FF"/>
          <w:sz w:val="20"/>
        </w:rPr>
        <w:t>Oppure</w:t>
      </w:r>
    </w:p>
    <w:p w:rsidR="001811EC" w:rsidRDefault="002121F5">
      <w:pPr>
        <w:pStyle w:val="BodyText21"/>
        <w:pBdr>
          <w:top w:val="outset" w:sz="6" w:space="1" w:color="auto"/>
          <w:left w:val="outset" w:sz="6" w:space="4" w:color="auto"/>
          <w:bottom w:val="inset" w:sz="6" w:space="1" w:color="auto"/>
          <w:right w:val="inset" w:sz="6" w:space="4" w:color="auto"/>
        </w:pBdr>
        <w:spacing w:before="120"/>
        <w:rPr>
          <w:rFonts w:cs="Arial"/>
          <w:b w:val="0"/>
          <w:sz w:val="20"/>
        </w:rPr>
      </w:pPr>
      <w:r>
        <w:rPr>
          <w:rFonts w:cs="Arial"/>
          <w:b w:val="0"/>
          <w:sz w:val="22"/>
          <w:szCs w:val="22"/>
        </w:rPr>
        <w:t>è prevista nel bilancio 2017</w:t>
      </w:r>
      <w:r>
        <w:rPr>
          <w:rFonts w:cs="Arial"/>
          <w:b w:val="0"/>
          <w:i w:val="0"/>
          <w:sz w:val="20"/>
        </w:rPr>
        <w:t xml:space="preserve"> </w:t>
      </w:r>
      <w:r>
        <w:rPr>
          <w:rFonts w:cs="Arial"/>
          <w:b w:val="0"/>
          <w:color w:val="0000FF"/>
          <w:sz w:val="16"/>
          <w:szCs w:val="16"/>
        </w:rPr>
        <w:t>(</w:t>
      </w:r>
      <w:r>
        <w:rPr>
          <w:rFonts w:cs="Arial"/>
          <w:color w:val="0000FF"/>
          <w:sz w:val="18"/>
        </w:rPr>
        <w:t>nel caso di mancato finanziamento o previsione indicare i motivi</w:t>
      </w:r>
      <w:r>
        <w:rPr>
          <w:rFonts w:cs="Arial"/>
          <w:b w:val="0"/>
          <w:color w:val="0000FF"/>
          <w:sz w:val="16"/>
          <w:szCs w:val="16"/>
        </w:rPr>
        <w:t>)</w:t>
      </w:r>
      <w:r>
        <w:rPr>
          <w:rFonts w:cs="Arial"/>
          <w:b w:val="0"/>
          <w:color w:val="0000FF"/>
          <w:sz w:val="20"/>
        </w:rPr>
        <w:t>.</w:t>
      </w:r>
    </w:p>
    <w:p w:rsidR="001811EC" w:rsidRDefault="002121F5">
      <w:pPr>
        <w:pStyle w:val="BodyText21"/>
        <w:rPr>
          <w:rFonts w:cs="Arial"/>
          <w:b w:val="0"/>
          <w:i w:val="0"/>
          <w:sz w:val="22"/>
          <w:szCs w:val="22"/>
        </w:rPr>
      </w:pPr>
      <w:r>
        <w:rPr>
          <w:rFonts w:cs="Arial"/>
          <w:b w:val="0"/>
          <w:i w:val="0"/>
          <w:sz w:val="22"/>
          <w:szCs w:val="22"/>
        </w:rPr>
        <w:t>Dalla verifica della situazione economica degli organismi totalmente partecipati o controllati dall’ente risulta quanto segue:</w:t>
      </w:r>
    </w:p>
    <w:p w:rsidR="001811EC" w:rsidRDefault="002121F5">
      <w:pPr>
        <w:pStyle w:val="BodyText21"/>
        <w:numPr>
          <w:ilvl w:val="0"/>
          <w:numId w:val="9"/>
        </w:numPr>
        <w:spacing w:before="120"/>
        <w:rPr>
          <w:rFonts w:cs="Arial"/>
          <w:b w:val="0"/>
          <w:i w:val="0"/>
          <w:sz w:val="22"/>
          <w:szCs w:val="22"/>
        </w:rPr>
      </w:pPr>
      <w:r>
        <w:rPr>
          <w:rFonts w:cs="Arial"/>
          <w:b w:val="0"/>
          <w:i w:val="0"/>
          <w:sz w:val="22"/>
          <w:szCs w:val="22"/>
        </w:rPr>
        <w:t>organismi che nel 2017 hanno previsto la distribuzione dei seguenti utili:</w:t>
      </w:r>
    </w:p>
    <w:p w:rsidR="001811EC" w:rsidRDefault="002121F5">
      <w:pPr>
        <w:pStyle w:val="BodyText21"/>
        <w:numPr>
          <w:ilvl w:val="1"/>
          <w:numId w:val="9"/>
        </w:numPr>
        <w:spacing w:before="120"/>
        <w:rPr>
          <w:rFonts w:cs="Arial"/>
          <w:b w:val="0"/>
          <w:i w:val="0"/>
          <w:sz w:val="22"/>
          <w:szCs w:val="22"/>
        </w:rPr>
      </w:pPr>
      <w:r>
        <w:rPr>
          <w:rFonts w:cs="Arial"/>
          <w:b w:val="0"/>
          <w:i w:val="0"/>
          <w:sz w:val="22"/>
          <w:szCs w:val="22"/>
        </w:rPr>
        <w:t>……………………………………….</w:t>
      </w:r>
    </w:p>
    <w:p w:rsidR="001811EC" w:rsidRDefault="002121F5">
      <w:pPr>
        <w:pStyle w:val="BodyText21"/>
        <w:numPr>
          <w:ilvl w:val="1"/>
          <w:numId w:val="9"/>
        </w:numPr>
        <w:spacing w:before="120"/>
        <w:rPr>
          <w:rFonts w:cs="Arial"/>
          <w:b w:val="0"/>
          <w:i w:val="0"/>
          <w:sz w:val="22"/>
          <w:szCs w:val="22"/>
        </w:rPr>
      </w:pPr>
      <w:r>
        <w:rPr>
          <w:rFonts w:cs="Arial"/>
          <w:b w:val="0"/>
          <w:i w:val="0"/>
          <w:sz w:val="22"/>
          <w:szCs w:val="22"/>
        </w:rPr>
        <w:t>……………………………………….</w:t>
      </w:r>
    </w:p>
    <w:p w:rsidR="001811EC" w:rsidRDefault="002121F5">
      <w:pPr>
        <w:pStyle w:val="BodyText21"/>
        <w:numPr>
          <w:ilvl w:val="0"/>
          <w:numId w:val="9"/>
        </w:numPr>
        <w:spacing w:before="120"/>
        <w:rPr>
          <w:rFonts w:cs="Arial"/>
          <w:b w:val="0"/>
          <w:i w:val="0"/>
          <w:sz w:val="22"/>
          <w:szCs w:val="22"/>
        </w:rPr>
      </w:pPr>
      <w:r>
        <w:rPr>
          <w:rFonts w:cs="Arial"/>
          <w:b w:val="0"/>
          <w:i w:val="0"/>
          <w:sz w:val="22"/>
          <w:szCs w:val="22"/>
        </w:rPr>
        <w:t>organismi che sulla base dei dati del bilancio di esercizio 2015, richiederanno nell’anno 2017, i seguenti finanziamenti aggiuntivi da parte dell’ente per assicurare l’equilibrio economico:</w:t>
      </w:r>
    </w:p>
    <w:p w:rsidR="001811EC" w:rsidRDefault="002121F5">
      <w:pPr>
        <w:pStyle w:val="BodyText21"/>
        <w:numPr>
          <w:ilvl w:val="1"/>
          <w:numId w:val="9"/>
        </w:numPr>
        <w:spacing w:before="120"/>
        <w:rPr>
          <w:rFonts w:cs="Arial"/>
          <w:b w:val="0"/>
          <w:i w:val="0"/>
          <w:sz w:val="22"/>
          <w:szCs w:val="22"/>
        </w:rPr>
      </w:pPr>
      <w:r>
        <w:rPr>
          <w:rFonts w:cs="Arial"/>
          <w:b w:val="0"/>
          <w:i w:val="0"/>
          <w:sz w:val="22"/>
          <w:szCs w:val="22"/>
        </w:rPr>
        <w:t>……………………………………….</w:t>
      </w:r>
    </w:p>
    <w:p w:rsidR="001811EC" w:rsidRDefault="002121F5">
      <w:pPr>
        <w:pStyle w:val="BodyText21"/>
        <w:numPr>
          <w:ilvl w:val="1"/>
          <w:numId w:val="9"/>
        </w:numPr>
        <w:spacing w:before="120"/>
        <w:rPr>
          <w:rFonts w:cs="Arial"/>
          <w:b w:val="0"/>
          <w:i w:val="0"/>
          <w:sz w:val="22"/>
          <w:szCs w:val="22"/>
        </w:rPr>
      </w:pPr>
      <w:r>
        <w:rPr>
          <w:rFonts w:cs="Arial"/>
          <w:b w:val="0"/>
          <w:i w:val="0"/>
          <w:sz w:val="22"/>
          <w:szCs w:val="22"/>
        </w:rPr>
        <w:t>……………………………………….</w:t>
      </w:r>
    </w:p>
    <w:p w:rsidR="001811EC" w:rsidRDefault="001811EC">
      <w:pPr>
        <w:rPr>
          <w:rFonts w:ascii="Arial" w:hAnsi="Arial" w:cs="Arial"/>
          <w:sz w:val="20"/>
          <w:szCs w:val="20"/>
        </w:rPr>
      </w:pPr>
    </w:p>
    <w:p w:rsidR="00C27228" w:rsidRDefault="00C27228">
      <w:pPr>
        <w:rPr>
          <w:rStyle w:val="provvrubrica"/>
          <w:rFonts w:ascii="Arial" w:hAnsi="Arial" w:cs="Arial"/>
          <w:b/>
          <w:i/>
          <w:iCs/>
          <w:color w:val="000000"/>
          <w:sz w:val="22"/>
          <w:szCs w:val="22"/>
        </w:rPr>
      </w:pPr>
    </w:p>
    <w:p w:rsidR="00C27228" w:rsidRDefault="00C27228">
      <w:pPr>
        <w:rPr>
          <w:rStyle w:val="provvrubrica"/>
          <w:rFonts w:ascii="Arial" w:hAnsi="Arial" w:cs="Arial"/>
          <w:b/>
          <w:i/>
          <w:iCs/>
          <w:color w:val="000000"/>
          <w:sz w:val="22"/>
          <w:szCs w:val="22"/>
        </w:rPr>
      </w:pPr>
    </w:p>
    <w:p w:rsidR="001811EC" w:rsidRDefault="002121F5">
      <w:pPr>
        <w:rPr>
          <w:rStyle w:val="provvrubrica"/>
          <w:rFonts w:ascii="Arial" w:hAnsi="Arial" w:cs="Arial"/>
          <w:b/>
          <w:i/>
          <w:iCs/>
          <w:color w:val="000000"/>
          <w:sz w:val="22"/>
          <w:szCs w:val="22"/>
        </w:rPr>
      </w:pPr>
      <w:r>
        <w:rPr>
          <w:rStyle w:val="provvrubrica"/>
          <w:rFonts w:ascii="Arial" w:hAnsi="Arial" w:cs="Arial"/>
          <w:b/>
          <w:i/>
          <w:iCs/>
          <w:color w:val="000000"/>
          <w:sz w:val="22"/>
          <w:szCs w:val="22"/>
        </w:rPr>
        <w:t>Finanziamento dei debiti degli enti locali nei confronti delle società partecipate</w:t>
      </w:r>
    </w:p>
    <w:p w:rsidR="001811EC" w:rsidRDefault="001811EC">
      <w:pPr>
        <w:rPr>
          <w:rStyle w:val="provvrubrica"/>
          <w:rFonts w:ascii="Arial" w:hAnsi="Arial" w:cs="Arial"/>
          <w:b/>
          <w:i/>
          <w:iCs/>
          <w:color w:val="000000"/>
          <w:sz w:val="22"/>
          <w:szCs w:val="22"/>
        </w:rPr>
      </w:pPr>
    </w:p>
    <w:p w:rsidR="001811EC" w:rsidRDefault="002121F5">
      <w:pPr>
        <w:jc w:val="both"/>
        <w:rPr>
          <w:rFonts w:ascii="Arial" w:hAnsi="Arial" w:cs="Arial"/>
          <w:sz w:val="22"/>
          <w:szCs w:val="22"/>
        </w:rPr>
      </w:pPr>
      <w:r>
        <w:rPr>
          <w:rFonts w:ascii="Arial" w:hAnsi="Arial" w:cs="Arial"/>
          <w:sz w:val="22"/>
          <w:szCs w:val="22"/>
        </w:rPr>
        <w:t>L’ente, avvalendosi di quanto disposto dall’</w:t>
      </w:r>
      <w:hyperlink r:id="rId190" w:history="1">
        <w:r>
          <w:rPr>
            <w:rStyle w:val="Collegamentoipertestuale"/>
            <w:rFonts w:ascii="Arial" w:hAnsi="Arial" w:cs="Arial"/>
            <w:sz w:val="22"/>
            <w:szCs w:val="22"/>
          </w:rPr>
          <w:t>art. 31, comma 3 del D.L. n. 66</w:t>
        </w:r>
      </w:hyperlink>
      <w:r>
        <w:rPr>
          <w:rFonts w:ascii="Arial" w:hAnsi="Arial" w:cs="Arial"/>
          <w:sz w:val="22"/>
          <w:szCs w:val="22"/>
        </w:rPr>
        <w:t xml:space="preserve"> del 24/4/2014 ha estinto i propri debiti al 31/12/2013, nei confronti delle società partecipate per l’importo di euro ………….avvalendosi della anticipazione di liquidità concessa ai sensi  del decreto direttoriale del 23 giugno 2014 al tasso di interesse dell’1,465%. </w:t>
      </w:r>
    </w:p>
    <w:p w:rsidR="001811EC" w:rsidRDefault="001811EC">
      <w:pPr>
        <w:jc w:val="both"/>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L’anticipazione è stata concessa a seguito di dichiarazione attestante la verifica dei crediti e debiti reciproci nei confronti delle società partecipate, asseverata dai rispettivi organi di revisione.</w:t>
      </w:r>
    </w:p>
    <w:p w:rsidR="001811EC" w:rsidRDefault="001811EC">
      <w:pPr>
        <w:jc w:val="both"/>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Le società partecipate destinatarie dei pagamenti effettuati a valere sulle anticipazioni hanno comunicato all’ente gli avvenuti pagamenti, unitamente alle informazioni relative ai debiti ancora in essere, per la successiva trasmissione nell'ambito della certificazione di cui all'articolo </w:t>
      </w:r>
      <w:hyperlink r:id="rId191" w:history="1">
        <w:r>
          <w:rPr>
            <w:rFonts w:ascii="Arial" w:hAnsi="Arial" w:cs="Arial"/>
            <w:sz w:val="22"/>
            <w:szCs w:val="22"/>
          </w:rPr>
          <w:t>1, comma 14</w:t>
        </w:r>
      </w:hyperlink>
      <w:r>
        <w:rPr>
          <w:rFonts w:ascii="Arial" w:hAnsi="Arial" w:cs="Arial"/>
          <w:sz w:val="22"/>
          <w:szCs w:val="22"/>
        </w:rPr>
        <w:t xml:space="preserve">, del citato </w:t>
      </w:r>
      <w:hyperlink r:id="rId192" w:history="1">
        <w:r>
          <w:rPr>
            <w:rStyle w:val="Collegamentoipertestuale"/>
            <w:rFonts w:ascii="Arial" w:hAnsi="Arial" w:cs="Arial"/>
            <w:sz w:val="22"/>
            <w:szCs w:val="22"/>
          </w:rPr>
          <w:t>Decreto Legge n. 35 del 2013</w:t>
        </w:r>
      </w:hyperlink>
      <w:r>
        <w:rPr>
          <w:rFonts w:ascii="Arial" w:hAnsi="Arial" w:cs="Arial"/>
          <w:sz w:val="22"/>
          <w:szCs w:val="22"/>
        </w:rPr>
        <w:t>.</w:t>
      </w:r>
    </w:p>
    <w:p w:rsidR="001811EC" w:rsidRDefault="002121F5">
      <w:pPr>
        <w:pStyle w:val="provvr0"/>
        <w:rPr>
          <w:rFonts w:ascii="Arial" w:hAnsi="Arial" w:cs="Arial"/>
          <w:b/>
          <w:color w:val="17365D" w:themeColor="text2" w:themeShade="BF"/>
          <w:sz w:val="22"/>
          <w:szCs w:val="22"/>
        </w:rPr>
      </w:pPr>
      <w:r w:rsidRPr="00C27228">
        <w:rPr>
          <w:rFonts w:ascii="Arial" w:hAnsi="Arial" w:cs="Arial"/>
          <w:b/>
          <w:color w:val="17365D" w:themeColor="text2" w:themeShade="BF"/>
          <w:sz w:val="22"/>
          <w:szCs w:val="22"/>
          <w:highlight w:val="yellow"/>
        </w:rPr>
        <w:t>(I collegi sindacali delle società partecipate dagli enti locali dovranno verificare le comunicazioni di cui sopra, dandone atto nei propri verbali e nella relazione al bilancio di esercizio.)</w:t>
      </w:r>
    </w:p>
    <w:p w:rsidR="001811EC" w:rsidRPr="00C27228" w:rsidRDefault="002121F5">
      <w:pPr>
        <w:rPr>
          <w:rStyle w:val="provvrubrica"/>
          <w:rFonts w:ascii="Arial" w:hAnsi="Arial" w:cs="Arial"/>
          <w:b/>
          <w:i/>
          <w:iCs/>
          <w:color w:val="000000"/>
          <w:sz w:val="22"/>
          <w:szCs w:val="22"/>
          <w:highlight w:val="yellow"/>
        </w:rPr>
      </w:pPr>
      <w:r w:rsidRPr="00C27228">
        <w:rPr>
          <w:rStyle w:val="provvrubrica"/>
          <w:rFonts w:ascii="Arial" w:hAnsi="Arial" w:cs="Arial"/>
          <w:b/>
          <w:i/>
          <w:iCs/>
          <w:color w:val="000000"/>
          <w:sz w:val="22"/>
          <w:szCs w:val="22"/>
          <w:highlight w:val="yellow"/>
        </w:rPr>
        <w:t>Riduzione compensi CDA</w:t>
      </w:r>
    </w:p>
    <w:p w:rsidR="001811EC" w:rsidRDefault="002121F5">
      <w:pPr>
        <w:spacing w:before="100" w:beforeAutospacing="1" w:after="100" w:afterAutospacing="1"/>
        <w:jc w:val="both"/>
        <w:rPr>
          <w:rFonts w:ascii="Arial" w:hAnsi="Arial" w:cs="Arial"/>
          <w:color w:val="000000"/>
          <w:sz w:val="22"/>
          <w:szCs w:val="22"/>
        </w:rPr>
      </w:pPr>
      <w:r w:rsidRPr="00C27228">
        <w:rPr>
          <w:rFonts w:ascii="Arial" w:hAnsi="Arial" w:cs="Arial"/>
          <w:color w:val="000000"/>
          <w:sz w:val="22"/>
          <w:szCs w:val="22"/>
          <w:highlight w:val="yellow"/>
        </w:rPr>
        <w:t>Le seguenti società a partecipazione di maggioranza pubblica diretta e indiretta titolari di affidamenti diretti da parte di soggetti pubblici per una quota superiore all’80% del valore della produzione, che hanno  conseguito nei tre esercizi precedenti un risultato economico negativo  dovranno, ai sensi del comma 3 dell’</w:t>
      </w:r>
      <w:hyperlink r:id="rId193" w:history="1">
        <w:r w:rsidRPr="00C27228">
          <w:rPr>
            <w:rStyle w:val="Collegamentoipertestuale"/>
            <w:rFonts w:ascii="Arial" w:hAnsi="Arial" w:cs="Arial"/>
            <w:sz w:val="22"/>
            <w:szCs w:val="22"/>
            <w:highlight w:val="yellow"/>
          </w:rPr>
          <w:t xml:space="preserve">art.21 del </w:t>
        </w:r>
        <w:proofErr w:type="spellStart"/>
        <w:r w:rsidRPr="00C27228">
          <w:rPr>
            <w:rStyle w:val="Collegamentoipertestuale"/>
            <w:rFonts w:ascii="Arial" w:hAnsi="Arial" w:cs="Arial"/>
            <w:sz w:val="22"/>
            <w:szCs w:val="22"/>
            <w:highlight w:val="yellow"/>
          </w:rPr>
          <w:t>D.Lgs.</w:t>
        </w:r>
        <w:proofErr w:type="spellEnd"/>
        <w:r w:rsidRPr="00C27228">
          <w:rPr>
            <w:rStyle w:val="Collegamentoipertestuale"/>
            <w:rFonts w:ascii="Arial" w:hAnsi="Arial" w:cs="Arial"/>
            <w:sz w:val="22"/>
            <w:szCs w:val="22"/>
            <w:highlight w:val="yellow"/>
          </w:rPr>
          <w:t xml:space="preserve"> 175/2016</w:t>
        </w:r>
      </w:hyperlink>
      <w:r w:rsidRPr="00C27228">
        <w:rPr>
          <w:rFonts w:ascii="Arial" w:hAnsi="Arial" w:cs="Arial"/>
          <w:color w:val="000000"/>
          <w:sz w:val="22"/>
          <w:szCs w:val="22"/>
          <w:highlight w:val="yellow"/>
        </w:rPr>
        <w:t>, procedere alla riduzione del 30 per cento del compenso dei componenti degli organi di amministrazione. Il conseguimento di un risultato economico negativo per due anni consecutivi rappresenta giusta causa ai fini della revoca degli amministratori. Quanto sopra non si applica ai soggetti il cui risultato economico, benché negativo, sia coerente con un piano di risanamento preventivamente approvato dall'ente controllante.</w:t>
      </w:r>
    </w:p>
    <w:p w:rsidR="001811EC" w:rsidRDefault="002121F5">
      <w:pPr>
        <w:rPr>
          <w:rFonts w:ascii="Arial" w:hAnsi="Arial" w:cs="Arial"/>
          <w:b/>
        </w:rPr>
      </w:pPr>
      <w:r>
        <w:rPr>
          <w:rStyle w:val="provvrubrica"/>
          <w:rFonts w:ascii="Arial" w:hAnsi="Arial" w:cs="Arial"/>
          <w:b/>
          <w:i/>
          <w:iCs/>
          <w:color w:val="000000"/>
          <w:sz w:val="22"/>
          <w:szCs w:val="22"/>
        </w:rPr>
        <w:t>Accantonamento a copertura di perdite</w:t>
      </w:r>
    </w:p>
    <w:p w:rsidR="001811EC" w:rsidRDefault="002121F5">
      <w:pPr>
        <w:rPr>
          <w:rFonts w:ascii="Arial" w:hAnsi="Arial" w:cs="Arial"/>
          <w:i/>
          <w:sz w:val="22"/>
          <w:szCs w:val="22"/>
        </w:rPr>
      </w:pPr>
      <w:r>
        <w:rPr>
          <w:rFonts w:ascii="Arial" w:hAnsi="Arial" w:cs="Arial"/>
          <w:i/>
          <w:sz w:val="22"/>
          <w:szCs w:val="22"/>
        </w:rPr>
        <w:t xml:space="preserve">(art. 1 commi da 550 a 562  della </w:t>
      </w:r>
      <w:hyperlink r:id="rId194" w:history="1">
        <w:r>
          <w:rPr>
            <w:rStyle w:val="Collegamentoipertestuale"/>
            <w:rFonts w:ascii="Arial" w:hAnsi="Arial" w:cs="Arial"/>
            <w:i/>
            <w:sz w:val="22"/>
            <w:szCs w:val="22"/>
          </w:rPr>
          <w:t>legge 147/2013</w:t>
        </w:r>
      </w:hyperlink>
      <w:r>
        <w:rPr>
          <w:rFonts w:ascii="Arial" w:hAnsi="Arial" w:cs="Arial"/>
          <w:i/>
          <w:sz w:val="22"/>
          <w:szCs w:val="22"/>
        </w:rPr>
        <w:t xml:space="preserve"> e </w:t>
      </w:r>
      <w:hyperlink r:id="rId195" w:history="1">
        <w:r>
          <w:rPr>
            <w:rStyle w:val="Collegamentoipertestuale"/>
            <w:rFonts w:ascii="Arial" w:hAnsi="Arial" w:cs="Arial"/>
            <w:i/>
            <w:sz w:val="22"/>
            <w:szCs w:val="22"/>
          </w:rPr>
          <w:t>art. 21 commi 1 e 2 del D.Lgs.175/2016</w:t>
        </w:r>
      </w:hyperlink>
      <w:r>
        <w:rPr>
          <w:rFonts w:ascii="Arial" w:hAnsi="Arial" w:cs="Arial"/>
          <w:i/>
          <w:sz w:val="22"/>
          <w:szCs w:val="22"/>
        </w:rPr>
        <w:t>)</w:t>
      </w:r>
    </w:p>
    <w:p w:rsidR="001811EC" w:rsidRDefault="002121F5">
      <w:pPr>
        <w:jc w:val="both"/>
        <w:rPr>
          <w:rFonts w:ascii="Arial" w:hAnsi="Arial" w:cs="Arial"/>
          <w:sz w:val="22"/>
          <w:szCs w:val="22"/>
        </w:rPr>
      </w:pPr>
      <w:r>
        <w:rPr>
          <w:rFonts w:ascii="Arial" w:hAnsi="Arial" w:cs="Arial"/>
          <w:sz w:val="22"/>
          <w:szCs w:val="22"/>
        </w:rPr>
        <w:t xml:space="preserve">Dai dati comunicati dalle società partecipate sul risultato dell’esercizio 2015, non risultano risultati d’esercizio negativi non immediatamente ripianabili che obbligano l’ente a provvedere agli accantonamenti ai sensi del comma 552 dell’art.1 della </w:t>
      </w:r>
      <w:hyperlink r:id="rId196" w:history="1">
        <w:r w:rsidR="002353AA">
          <w:rPr>
            <w:rStyle w:val="Collegamentoipertestuale"/>
            <w:rFonts w:ascii="Arial" w:hAnsi="Arial" w:cs="Arial"/>
            <w:sz w:val="22"/>
            <w:szCs w:val="22"/>
          </w:rPr>
          <w:t>L</w:t>
        </w:r>
        <w:r>
          <w:rPr>
            <w:rStyle w:val="Collegamentoipertestuale"/>
            <w:rFonts w:ascii="Arial" w:hAnsi="Arial" w:cs="Arial"/>
            <w:sz w:val="22"/>
            <w:szCs w:val="22"/>
          </w:rPr>
          <w:t>egge 147/2013</w:t>
        </w:r>
      </w:hyperlink>
    </w:p>
    <w:p w:rsidR="001811EC" w:rsidRDefault="002121F5">
      <w:pPr>
        <w:jc w:val="both"/>
        <w:rPr>
          <w:rFonts w:ascii="Arial" w:hAnsi="Arial" w:cs="Arial"/>
          <w:i/>
          <w:sz w:val="22"/>
          <w:szCs w:val="22"/>
        </w:rPr>
      </w:pPr>
      <w:r>
        <w:rPr>
          <w:rFonts w:ascii="Arial" w:hAnsi="Arial" w:cs="Arial"/>
          <w:i/>
          <w:sz w:val="22"/>
          <w:szCs w:val="22"/>
        </w:rPr>
        <w:t>Oppure:</w:t>
      </w:r>
    </w:p>
    <w:p w:rsidR="001811EC" w:rsidRDefault="002121F5">
      <w:pPr>
        <w:jc w:val="both"/>
        <w:rPr>
          <w:rFonts w:ascii="Arial" w:hAnsi="Arial" w:cs="Arial"/>
          <w:sz w:val="22"/>
          <w:szCs w:val="22"/>
        </w:rPr>
      </w:pPr>
      <w:r>
        <w:rPr>
          <w:rFonts w:ascii="Arial" w:hAnsi="Arial" w:cs="Arial"/>
          <w:sz w:val="22"/>
          <w:szCs w:val="22"/>
        </w:rPr>
        <w:t xml:space="preserve">Le seguenti Istituzioni, aziende speciali e società partecipate dall’ente hanno comunicato di prevedere i seguenti risultati di esercizio o finanziari negativi non immediatamente ripianabili e l’ente ha provveduto ai seguenti accantonamenti ai sensi del comma 552 dell’art.1 della </w:t>
      </w:r>
      <w:hyperlink r:id="rId197" w:history="1">
        <w:r>
          <w:rPr>
            <w:rStyle w:val="Collegamentoipertestuale"/>
            <w:rFonts w:ascii="Arial" w:hAnsi="Arial" w:cs="Arial"/>
            <w:sz w:val="22"/>
            <w:szCs w:val="22"/>
          </w:rPr>
          <w:t>Legge 147/2013</w:t>
        </w:r>
      </w:hyperlink>
      <w:r>
        <w:rPr>
          <w:rFonts w:ascii="Arial" w:hAnsi="Arial" w:cs="Arial"/>
          <w:sz w:val="22"/>
          <w:szCs w:val="22"/>
        </w:rPr>
        <w:t xml:space="preserve"> e dell’</w:t>
      </w:r>
      <w:hyperlink r:id="rId198" w:history="1">
        <w:r>
          <w:rPr>
            <w:rStyle w:val="Collegamentoipertestuale"/>
            <w:rFonts w:ascii="Arial" w:hAnsi="Arial" w:cs="Arial"/>
            <w:sz w:val="22"/>
            <w:szCs w:val="22"/>
          </w:rPr>
          <w:t>art. 21 commi 1 e 2 del D.Lgs.175/2016</w:t>
        </w:r>
      </w:hyperlink>
      <w:r>
        <w:rPr>
          <w:rFonts w:ascii="Arial" w:hAnsi="Arial" w:cs="Arial"/>
          <w:sz w:val="22"/>
          <w:szCs w:val="22"/>
        </w:rPr>
        <w:t>:</w:t>
      </w:r>
    </w:p>
    <w:p w:rsidR="001811EC" w:rsidRDefault="001811EC">
      <w:pPr>
        <w:jc w:val="both"/>
        <w:rPr>
          <w:rFonts w:ascii="Arial" w:hAnsi="Arial" w:cs="Arial"/>
          <w:sz w:val="22"/>
          <w:szCs w:val="22"/>
        </w:rPr>
      </w:pPr>
    </w:p>
    <w:bookmarkStart w:id="91" w:name="_MON_1542706989"/>
    <w:bookmarkEnd w:id="91"/>
    <w:p w:rsidR="001811EC" w:rsidRDefault="002121F5">
      <w:pPr>
        <w:jc w:val="center"/>
        <w:rPr>
          <w:rFonts w:ascii="Arial" w:hAnsi="Arial" w:cs="Arial"/>
          <w:sz w:val="20"/>
          <w:szCs w:val="20"/>
        </w:rPr>
      </w:pPr>
      <w:r w:rsidRPr="00FF759A">
        <w:rPr>
          <w:rFonts w:ascii="Arial" w:hAnsi="Arial" w:cs="Arial"/>
          <w:sz w:val="20"/>
          <w:szCs w:val="20"/>
        </w:rPr>
        <w:object w:dxaOrig="8157" w:dyaOrig="2036">
          <v:shape id="_x0000_i1050" type="#_x0000_t75" style="width:407.7pt;height:101.9pt" o:ole="">
            <v:imagedata r:id="rId199" o:title=""/>
          </v:shape>
          <o:OLEObject Type="Embed" ProgID="Excel.Sheet.12" ShapeID="_x0000_i1050" DrawAspect="Content" ObjectID="_1547620578" r:id="rId200"/>
        </w:object>
      </w:r>
    </w:p>
    <w:p w:rsidR="001811EC" w:rsidRDefault="001811EC">
      <w:pPr>
        <w:jc w:val="both"/>
        <w:rPr>
          <w:rFonts w:ascii="Arial" w:hAnsi="Arial" w:cs="Arial"/>
          <w:sz w:val="20"/>
          <w:szCs w:val="20"/>
        </w:rPr>
      </w:pPr>
    </w:p>
    <w:p w:rsidR="001811EC" w:rsidRDefault="002121F5">
      <w:pPr>
        <w:jc w:val="both"/>
        <w:rPr>
          <w:rFonts w:ascii="Arial" w:hAnsi="Arial" w:cs="Arial"/>
          <w:sz w:val="20"/>
          <w:szCs w:val="20"/>
        </w:rPr>
      </w:pPr>
      <w:r>
        <w:rPr>
          <w:rFonts w:ascii="Arial" w:hAnsi="Arial" w:cs="Arial"/>
          <w:sz w:val="20"/>
          <w:szCs w:val="20"/>
        </w:rPr>
        <w:t>…………………………………………………</w:t>
      </w:r>
    </w:p>
    <w:p w:rsidR="001811EC" w:rsidRDefault="001811EC">
      <w:pPr>
        <w:pStyle w:val="Sottotitolo"/>
        <w:jc w:val="both"/>
        <w:rPr>
          <w:rFonts w:ascii="Arial" w:hAnsi="Arial" w:cs="Arial"/>
          <w:b/>
          <w:sz w:val="22"/>
          <w:szCs w:val="22"/>
        </w:rPr>
      </w:pPr>
    </w:p>
    <w:p w:rsidR="001811EC" w:rsidRDefault="001811EC">
      <w:pPr>
        <w:jc w:val="both"/>
        <w:rPr>
          <w:rFonts w:ascii="Arial" w:hAnsi="Arial" w:cs="Arial"/>
          <w:sz w:val="20"/>
          <w:szCs w:val="20"/>
        </w:rPr>
      </w:pPr>
    </w:p>
    <w:p w:rsidR="00C27228" w:rsidRDefault="00C27228">
      <w:pPr>
        <w:rPr>
          <w:rStyle w:val="provvrubrica"/>
          <w:rFonts w:ascii="Arial" w:hAnsi="Arial" w:cs="Arial"/>
          <w:b/>
          <w:i/>
          <w:iCs/>
          <w:color w:val="000000"/>
          <w:sz w:val="22"/>
          <w:szCs w:val="22"/>
        </w:rPr>
      </w:pPr>
    </w:p>
    <w:p w:rsidR="001811EC" w:rsidRDefault="002121F5">
      <w:pPr>
        <w:rPr>
          <w:rStyle w:val="provvrubrica"/>
          <w:rFonts w:ascii="Arial" w:hAnsi="Arial" w:cs="Arial"/>
          <w:b/>
          <w:i/>
          <w:iCs/>
          <w:color w:val="000000"/>
          <w:sz w:val="22"/>
          <w:szCs w:val="22"/>
        </w:rPr>
      </w:pPr>
      <w:r>
        <w:rPr>
          <w:rStyle w:val="provvrubrica"/>
          <w:rFonts w:ascii="Arial" w:hAnsi="Arial" w:cs="Arial"/>
          <w:b/>
          <w:i/>
          <w:iCs/>
          <w:color w:val="000000"/>
          <w:sz w:val="22"/>
          <w:szCs w:val="22"/>
        </w:rPr>
        <w:t>Piano operativo di razionalizzazione delle società e delle partecipazioni</w:t>
      </w:r>
    </w:p>
    <w:p w:rsidR="001811EC" w:rsidRDefault="002121F5">
      <w:pPr>
        <w:jc w:val="both"/>
        <w:rPr>
          <w:rFonts w:ascii="Arial" w:hAnsi="Arial" w:cs="Arial"/>
          <w:sz w:val="22"/>
          <w:szCs w:val="22"/>
        </w:rPr>
      </w:pPr>
      <w:r>
        <w:rPr>
          <w:rFonts w:ascii="Arial" w:hAnsi="Arial" w:cs="Arial"/>
          <w:sz w:val="22"/>
          <w:szCs w:val="22"/>
        </w:rPr>
        <w:t xml:space="preserve">L’ente ha approvato ai sensi del comma 612 dell’art.1 della </w:t>
      </w:r>
      <w:hyperlink r:id="rId201" w:history="1">
        <w:r>
          <w:rPr>
            <w:rStyle w:val="Collegamentoipertestuale"/>
            <w:rFonts w:ascii="Arial" w:hAnsi="Arial" w:cs="Arial"/>
            <w:sz w:val="22"/>
            <w:szCs w:val="22"/>
          </w:rPr>
          <w:t>legge 190/2014</w:t>
        </w:r>
      </w:hyperlink>
      <w:r>
        <w:rPr>
          <w:rFonts w:ascii="Arial" w:hAnsi="Arial" w:cs="Arial"/>
          <w:sz w:val="22"/>
          <w:szCs w:val="22"/>
        </w:rPr>
        <w:t>, un piano operativo, corredato da relazione tecnica, di razionalizzazione delle società e delle partecipazioni societarie direttamente o indirettamente possedute, indicando le modalità, i tempi di attuazione ed il dettaglio dei risparmi da conseguire.</w:t>
      </w:r>
    </w:p>
    <w:p w:rsidR="001811EC" w:rsidRDefault="002121F5">
      <w:pPr>
        <w:jc w:val="both"/>
        <w:rPr>
          <w:rFonts w:ascii="Arial" w:hAnsi="Arial" w:cs="Arial"/>
          <w:sz w:val="22"/>
          <w:szCs w:val="22"/>
        </w:rPr>
      </w:pPr>
      <w:r>
        <w:rPr>
          <w:rFonts w:ascii="Arial" w:hAnsi="Arial" w:cs="Arial"/>
          <w:sz w:val="22"/>
          <w:szCs w:val="22"/>
        </w:rPr>
        <w:t>Tale piano con unita relazione è stato trasmesso  alla Sezione regionale di controllo della Corte dei Conti e pubblicato nel sito internet dell’ente.</w:t>
      </w:r>
    </w:p>
    <w:p w:rsidR="001811EC" w:rsidRDefault="002121F5">
      <w:pPr>
        <w:jc w:val="both"/>
        <w:rPr>
          <w:rFonts w:ascii="Arial" w:hAnsi="Arial" w:cs="Arial"/>
          <w:sz w:val="22"/>
          <w:szCs w:val="22"/>
        </w:rPr>
      </w:pPr>
      <w:r>
        <w:rPr>
          <w:rFonts w:ascii="Arial" w:hAnsi="Arial" w:cs="Arial"/>
          <w:sz w:val="22"/>
          <w:szCs w:val="22"/>
        </w:rPr>
        <w:t>In relazione ai risparmi previsti nel piano si osserva quanto segue…………………………….</w:t>
      </w:r>
    </w:p>
    <w:p w:rsidR="001811EC" w:rsidRDefault="001811EC">
      <w:pPr>
        <w:jc w:val="both"/>
        <w:rPr>
          <w:rFonts w:ascii="Arial" w:hAnsi="Arial" w:cs="Arial"/>
          <w:sz w:val="20"/>
          <w:szCs w:val="20"/>
        </w:rPr>
      </w:pPr>
    </w:p>
    <w:p w:rsidR="001811EC" w:rsidRDefault="001811EC">
      <w:pPr>
        <w:rPr>
          <w:rFonts w:ascii="Arial" w:hAnsi="Arial" w:cs="Arial"/>
          <w:sz w:val="20"/>
          <w:szCs w:val="20"/>
        </w:rPr>
      </w:pPr>
    </w:p>
    <w:p w:rsidR="001811EC" w:rsidRDefault="001811EC">
      <w:pPr>
        <w:rPr>
          <w:rFonts w:ascii="Arial" w:hAnsi="Arial" w:cs="Arial"/>
          <w:sz w:val="20"/>
          <w:szCs w:val="20"/>
        </w:rPr>
      </w:pPr>
    </w:p>
    <w:p w:rsidR="001811EC" w:rsidRDefault="001811EC">
      <w:pPr>
        <w:rPr>
          <w:rFonts w:ascii="Arial" w:hAnsi="Arial" w:cs="Arial"/>
          <w:sz w:val="20"/>
          <w:szCs w:val="20"/>
        </w:rPr>
      </w:pPr>
    </w:p>
    <w:p w:rsidR="001811EC" w:rsidRDefault="002121F5">
      <w:pPr>
        <w:pStyle w:val="Titolo1"/>
        <w:shd w:val="clear" w:color="auto" w:fill="B6DDE8" w:themeFill="accent5" w:themeFillTint="66"/>
      </w:pPr>
      <w:bookmarkStart w:id="92" w:name="_SPESE_IN_CONTO"/>
      <w:bookmarkStart w:id="93" w:name="_Toc346838834"/>
      <w:bookmarkStart w:id="94" w:name="_Toc469216219"/>
      <w:bookmarkEnd w:id="87"/>
      <w:bookmarkEnd w:id="92"/>
      <w:r>
        <w:t>SPESE IN CONTO CAPITALE</w:t>
      </w:r>
      <w:bookmarkEnd w:id="93"/>
      <w:bookmarkEnd w:id="94"/>
    </w:p>
    <w:p w:rsidR="001811EC" w:rsidRDefault="001811EC">
      <w:pPr>
        <w:numPr>
          <w:ilvl w:val="12"/>
          <w:numId w:val="0"/>
        </w:numPr>
        <w:rPr>
          <w:rFonts w:ascii="Arial" w:hAnsi="Arial" w:cs="Arial"/>
          <w:sz w:val="22"/>
          <w:szCs w:val="22"/>
        </w:rPr>
      </w:pPr>
    </w:p>
    <w:p w:rsidR="001811EC" w:rsidRPr="00C27228" w:rsidRDefault="002121F5">
      <w:pPr>
        <w:rPr>
          <w:rFonts w:ascii="Arial" w:hAnsi="Arial" w:cs="Arial"/>
          <w:b/>
          <w:sz w:val="22"/>
          <w:szCs w:val="22"/>
          <w:highlight w:val="yellow"/>
          <w:u w:val="single"/>
        </w:rPr>
      </w:pPr>
      <w:r w:rsidRPr="00C27228">
        <w:rPr>
          <w:rFonts w:ascii="Arial" w:hAnsi="Arial" w:cs="Arial"/>
          <w:b/>
          <w:sz w:val="22"/>
          <w:szCs w:val="22"/>
          <w:highlight w:val="yellow"/>
          <w:u w:val="single"/>
        </w:rPr>
        <w:t>Finanziamento spese in conto capitale</w:t>
      </w:r>
    </w:p>
    <w:p w:rsidR="001811EC" w:rsidRPr="00C27228" w:rsidRDefault="002121F5">
      <w:pPr>
        <w:jc w:val="both"/>
        <w:rPr>
          <w:rFonts w:ascii="Arial" w:hAnsi="Arial" w:cs="Arial"/>
          <w:sz w:val="22"/>
          <w:szCs w:val="22"/>
          <w:highlight w:val="yellow"/>
        </w:rPr>
      </w:pPr>
      <w:r w:rsidRPr="00C27228">
        <w:rPr>
          <w:rFonts w:ascii="Arial" w:hAnsi="Arial" w:cs="Arial"/>
          <w:sz w:val="22"/>
          <w:szCs w:val="22"/>
          <w:highlight w:val="yellow"/>
        </w:rPr>
        <w:t>Le spese in conto capitale previste negli anni 2017, 2018 e 2019……… sono finanziate come segue:</w:t>
      </w:r>
    </w:p>
    <w:p w:rsidR="001811EC" w:rsidRPr="00C27228" w:rsidRDefault="001811EC">
      <w:pPr>
        <w:jc w:val="both"/>
        <w:rPr>
          <w:rFonts w:ascii="Arial" w:hAnsi="Arial" w:cs="Arial"/>
          <w:sz w:val="22"/>
          <w:szCs w:val="22"/>
          <w:highlight w:val="yellow"/>
        </w:rPr>
      </w:pPr>
    </w:p>
    <w:bookmarkStart w:id="95" w:name="_MON_1542377476"/>
    <w:bookmarkEnd w:id="95"/>
    <w:p w:rsidR="001811EC" w:rsidRDefault="002121F5">
      <w:pPr>
        <w:jc w:val="center"/>
        <w:rPr>
          <w:rFonts w:ascii="Arial" w:hAnsi="Arial" w:cs="Arial"/>
          <w:sz w:val="22"/>
          <w:szCs w:val="22"/>
        </w:rPr>
      </w:pPr>
      <w:r w:rsidRPr="00C27228">
        <w:rPr>
          <w:rFonts w:ascii="Arial" w:hAnsi="Arial" w:cs="Arial"/>
          <w:sz w:val="22"/>
          <w:szCs w:val="22"/>
          <w:highlight w:val="yellow"/>
        </w:rPr>
        <w:object w:dxaOrig="8431" w:dyaOrig="3800">
          <v:shape id="_x0000_i1051" type="#_x0000_t75" style="width:422.2pt;height:190.75pt" o:ole="">
            <v:imagedata r:id="rId202" o:title=""/>
          </v:shape>
          <o:OLEObject Type="Embed" ProgID="Excel.Sheet.12" ShapeID="_x0000_i1051" DrawAspect="Content" ObjectID="_1547620579" r:id="rId203"/>
        </w:object>
      </w:r>
    </w:p>
    <w:p w:rsidR="001811EC" w:rsidRDefault="001811EC">
      <w:pPr>
        <w:jc w:val="both"/>
        <w:rPr>
          <w:rFonts w:ascii="Arial" w:hAnsi="Arial" w:cs="Arial"/>
          <w:sz w:val="22"/>
          <w:szCs w:val="22"/>
        </w:rPr>
      </w:pPr>
    </w:p>
    <w:p w:rsidR="001811EC" w:rsidRDefault="001811EC">
      <w:pPr>
        <w:jc w:val="both"/>
        <w:rPr>
          <w:rFonts w:ascii="Arial" w:hAnsi="Arial" w:cs="Arial"/>
          <w:sz w:val="22"/>
          <w:szCs w:val="22"/>
        </w:rPr>
      </w:pPr>
    </w:p>
    <w:p w:rsidR="001811EC" w:rsidRDefault="002121F5">
      <w:pPr>
        <w:jc w:val="both"/>
        <w:rPr>
          <w:rFonts w:ascii="Arial" w:hAnsi="Arial" w:cs="Arial"/>
          <w:sz w:val="22"/>
          <w:szCs w:val="22"/>
        </w:rPr>
      </w:pPr>
      <w:r w:rsidRPr="00C27228">
        <w:rPr>
          <w:rFonts w:ascii="Arial" w:hAnsi="Arial" w:cs="Arial"/>
          <w:sz w:val="22"/>
          <w:szCs w:val="22"/>
          <w:highlight w:val="yellow"/>
        </w:rPr>
        <w:t>Le modalità di copertura delle spese di investimento per gli anni 2018 e 2019 sono le seguenti:</w:t>
      </w:r>
    </w:p>
    <w:bookmarkStart w:id="96" w:name="_MON_1542707020"/>
    <w:bookmarkEnd w:id="96"/>
    <w:p w:rsidR="001811EC" w:rsidRDefault="002121F5">
      <w:pPr>
        <w:rPr>
          <w:rFonts w:ascii="Arial" w:hAnsi="Arial" w:cs="Arial"/>
          <w:i/>
          <w:sz w:val="20"/>
          <w:u w:val="single"/>
        </w:rPr>
      </w:pPr>
      <w:r w:rsidRPr="00C27228">
        <w:rPr>
          <w:rFonts w:ascii="Arial" w:hAnsi="Arial" w:cs="Arial"/>
          <w:i/>
          <w:sz w:val="20"/>
          <w:highlight w:val="yellow"/>
          <w:u w:val="single"/>
        </w:rPr>
        <w:object w:dxaOrig="10320" w:dyaOrig="8664">
          <v:shape id="_x0000_i1052" type="#_x0000_t75" style="width:515.7pt;height:433.4pt" o:ole="">
            <v:imagedata r:id="rId204" o:title=""/>
          </v:shape>
          <o:OLEObject Type="Embed" ProgID="Excel.Sheet.12" ShapeID="_x0000_i1052" DrawAspect="Content" ObjectID="_1547620580" r:id="rId205"/>
        </w:object>
      </w:r>
    </w:p>
    <w:p w:rsidR="001811EC" w:rsidRDefault="001811EC">
      <w:pPr>
        <w:rPr>
          <w:rFonts w:ascii="Arial" w:hAnsi="Arial" w:cs="Arial"/>
          <w:b/>
          <w:sz w:val="22"/>
          <w:szCs w:val="22"/>
          <w:u w:val="single"/>
        </w:rPr>
      </w:pPr>
    </w:p>
    <w:p w:rsidR="001811EC" w:rsidRDefault="001811EC">
      <w:pPr>
        <w:rPr>
          <w:rFonts w:ascii="Arial" w:hAnsi="Arial" w:cs="Arial"/>
          <w:b/>
          <w:sz w:val="22"/>
          <w:szCs w:val="22"/>
          <w:u w:val="single"/>
        </w:rPr>
      </w:pPr>
    </w:p>
    <w:p w:rsidR="001811EC" w:rsidRDefault="002121F5">
      <w:pPr>
        <w:rPr>
          <w:rFonts w:ascii="Arial" w:hAnsi="Arial" w:cs="Arial"/>
          <w:b/>
          <w:sz w:val="22"/>
          <w:szCs w:val="22"/>
          <w:u w:val="single"/>
        </w:rPr>
      </w:pPr>
      <w:r>
        <w:rPr>
          <w:rFonts w:ascii="Arial" w:hAnsi="Arial" w:cs="Arial"/>
          <w:b/>
          <w:sz w:val="22"/>
          <w:szCs w:val="22"/>
          <w:u w:val="single"/>
        </w:rPr>
        <w:t>Investimenti senza esborsi finanziari</w:t>
      </w:r>
    </w:p>
    <w:p w:rsidR="001811EC" w:rsidRDefault="001811EC">
      <w:pPr>
        <w:rPr>
          <w:rFonts w:ascii="Arial" w:hAnsi="Arial" w:cs="Arial"/>
          <w:b/>
          <w:sz w:val="22"/>
          <w:szCs w:val="22"/>
          <w:u w:val="single"/>
        </w:rPr>
      </w:pPr>
    </w:p>
    <w:p w:rsidR="001811EC" w:rsidRDefault="002121F5">
      <w:pPr>
        <w:jc w:val="both"/>
        <w:rPr>
          <w:rFonts w:ascii="Arial" w:hAnsi="Arial" w:cs="Arial"/>
          <w:sz w:val="22"/>
          <w:szCs w:val="22"/>
        </w:rPr>
      </w:pPr>
      <w:r>
        <w:rPr>
          <w:rFonts w:ascii="Arial" w:hAnsi="Arial" w:cs="Arial"/>
          <w:sz w:val="22"/>
          <w:szCs w:val="22"/>
        </w:rPr>
        <w:t>Sono programmati per gli anni 2017-2019 altri investimenti senza esborso finanziario (transazioni non monetarie) rilevati in bilancio nell’entrata e nelle spesa come segue:</w:t>
      </w:r>
    </w:p>
    <w:p w:rsidR="001811EC" w:rsidRDefault="001811EC">
      <w:pPr>
        <w:jc w:val="both"/>
        <w:rPr>
          <w:rFonts w:ascii="Arial" w:hAnsi="Arial" w:cs="Arial"/>
          <w:sz w:val="22"/>
          <w:szCs w:val="22"/>
        </w:rPr>
      </w:pPr>
    </w:p>
    <w:p w:rsidR="001811EC" w:rsidRDefault="001811EC">
      <w:pPr>
        <w:jc w:val="both"/>
        <w:rPr>
          <w:rFonts w:ascii="Arial" w:hAnsi="Arial" w:cs="Arial"/>
          <w:sz w:val="22"/>
          <w:szCs w:val="22"/>
        </w:rPr>
      </w:pPr>
    </w:p>
    <w:bookmarkStart w:id="97" w:name="_MON_1542699020"/>
    <w:bookmarkEnd w:id="97"/>
    <w:p w:rsidR="001811EC" w:rsidRDefault="002121F5">
      <w:pPr>
        <w:jc w:val="center"/>
        <w:rPr>
          <w:rFonts w:ascii="Arial" w:hAnsi="Arial" w:cs="Arial"/>
          <w:sz w:val="22"/>
          <w:szCs w:val="22"/>
        </w:rPr>
      </w:pPr>
      <w:r w:rsidRPr="00FF759A">
        <w:rPr>
          <w:rFonts w:ascii="Arial" w:hAnsi="Arial" w:cs="Arial"/>
          <w:sz w:val="22"/>
          <w:szCs w:val="22"/>
        </w:rPr>
        <w:object w:dxaOrig="9924" w:dyaOrig="2036">
          <v:shape id="_x0000_i1053" type="#_x0000_t75" style="width:495.1pt;height:101.9pt" o:ole="">
            <v:imagedata r:id="rId206" o:title=""/>
          </v:shape>
          <o:OLEObject Type="Embed" ProgID="Excel.Sheet.12" ShapeID="_x0000_i1053" DrawAspect="Content" ObjectID="_1547620581" r:id="rId207"/>
        </w:object>
      </w:r>
    </w:p>
    <w:p w:rsidR="001811EC" w:rsidRDefault="001811EC">
      <w:pPr>
        <w:jc w:val="both"/>
        <w:rPr>
          <w:rFonts w:ascii="Arial" w:hAnsi="Arial" w:cs="Arial"/>
          <w:sz w:val="22"/>
          <w:szCs w:val="22"/>
        </w:rPr>
      </w:pPr>
    </w:p>
    <w:p w:rsidR="0064026B" w:rsidRDefault="0064026B">
      <w:pPr>
        <w:jc w:val="both"/>
        <w:rPr>
          <w:rFonts w:ascii="Arial" w:hAnsi="Arial" w:cs="Arial"/>
          <w:sz w:val="22"/>
          <w:szCs w:val="22"/>
        </w:rPr>
      </w:pPr>
    </w:p>
    <w:p w:rsidR="001811EC" w:rsidRDefault="002121F5">
      <w:pPr>
        <w:numPr>
          <w:ilvl w:val="12"/>
          <w:numId w:val="0"/>
        </w:numPr>
        <w:rPr>
          <w:rFonts w:ascii="Arial" w:hAnsi="Arial" w:cs="Arial"/>
          <w:sz w:val="22"/>
          <w:szCs w:val="22"/>
        </w:rPr>
      </w:pPr>
      <w:r>
        <w:rPr>
          <w:rFonts w:ascii="Arial" w:hAnsi="Arial" w:cs="Arial"/>
          <w:sz w:val="22"/>
          <w:szCs w:val="22"/>
        </w:rPr>
        <w:lastRenderedPageBreak/>
        <w:t>L’ente intende acquisire i seguenti beni con contratto di locazione finanziaria:</w:t>
      </w:r>
    </w:p>
    <w:tbl>
      <w:tblPr>
        <w:tblW w:w="9560" w:type="dxa"/>
        <w:tblInd w:w="55" w:type="dxa"/>
        <w:tblCellMar>
          <w:left w:w="70" w:type="dxa"/>
          <w:right w:w="70" w:type="dxa"/>
        </w:tblCellMar>
        <w:tblLook w:val="00A0" w:firstRow="1" w:lastRow="0" w:firstColumn="1" w:lastColumn="0" w:noHBand="0" w:noVBand="0"/>
      </w:tblPr>
      <w:tblGrid>
        <w:gridCol w:w="3640"/>
        <w:gridCol w:w="1480"/>
        <w:gridCol w:w="1000"/>
        <w:gridCol w:w="1720"/>
        <w:gridCol w:w="1720"/>
      </w:tblGrid>
      <w:tr w:rsidR="001811EC">
        <w:trPr>
          <w:trHeight w:val="255"/>
        </w:trPr>
        <w:tc>
          <w:tcPr>
            <w:tcW w:w="3640" w:type="dxa"/>
            <w:tcBorders>
              <w:top w:val="nil"/>
              <w:left w:val="nil"/>
              <w:bottom w:val="nil"/>
              <w:right w:val="nil"/>
            </w:tcBorders>
            <w:noWrap/>
            <w:vAlign w:val="bottom"/>
          </w:tcPr>
          <w:p w:rsidR="001811EC" w:rsidRDefault="001811EC">
            <w:pPr>
              <w:rPr>
                <w:rFonts w:ascii="Arial" w:hAnsi="Arial" w:cs="Arial"/>
                <w:sz w:val="20"/>
                <w:szCs w:val="20"/>
              </w:rPr>
            </w:pPr>
          </w:p>
        </w:tc>
        <w:tc>
          <w:tcPr>
            <w:tcW w:w="1480" w:type="dxa"/>
            <w:tcBorders>
              <w:top w:val="nil"/>
              <w:left w:val="nil"/>
              <w:bottom w:val="nil"/>
              <w:right w:val="nil"/>
            </w:tcBorders>
            <w:noWrap/>
            <w:vAlign w:val="bottom"/>
          </w:tcPr>
          <w:p w:rsidR="001811EC" w:rsidRDefault="001811EC">
            <w:pPr>
              <w:rPr>
                <w:rFonts w:ascii="Arial" w:hAnsi="Arial" w:cs="Arial"/>
                <w:sz w:val="20"/>
                <w:szCs w:val="20"/>
              </w:rPr>
            </w:pPr>
          </w:p>
        </w:tc>
        <w:tc>
          <w:tcPr>
            <w:tcW w:w="1000" w:type="dxa"/>
            <w:tcBorders>
              <w:top w:val="nil"/>
              <w:left w:val="nil"/>
              <w:bottom w:val="nil"/>
              <w:right w:val="nil"/>
            </w:tcBorders>
            <w:noWrap/>
            <w:vAlign w:val="bottom"/>
          </w:tcPr>
          <w:p w:rsidR="001811EC" w:rsidRDefault="001811EC">
            <w:pPr>
              <w:rPr>
                <w:rFonts w:ascii="Arial" w:hAnsi="Arial" w:cs="Arial"/>
                <w:sz w:val="20"/>
                <w:szCs w:val="20"/>
              </w:rPr>
            </w:pPr>
          </w:p>
        </w:tc>
        <w:tc>
          <w:tcPr>
            <w:tcW w:w="1720" w:type="dxa"/>
            <w:tcBorders>
              <w:top w:val="nil"/>
              <w:left w:val="nil"/>
              <w:bottom w:val="nil"/>
              <w:right w:val="nil"/>
            </w:tcBorders>
            <w:noWrap/>
            <w:vAlign w:val="bottom"/>
          </w:tcPr>
          <w:p w:rsidR="001811EC" w:rsidRDefault="001811EC">
            <w:pPr>
              <w:rPr>
                <w:rFonts w:ascii="Arial" w:hAnsi="Arial" w:cs="Arial"/>
                <w:sz w:val="20"/>
                <w:szCs w:val="20"/>
              </w:rPr>
            </w:pPr>
          </w:p>
        </w:tc>
        <w:tc>
          <w:tcPr>
            <w:tcW w:w="1720" w:type="dxa"/>
            <w:tcBorders>
              <w:top w:val="nil"/>
              <w:left w:val="nil"/>
              <w:bottom w:val="nil"/>
              <w:right w:val="nil"/>
            </w:tcBorders>
            <w:noWrap/>
            <w:vAlign w:val="bottom"/>
          </w:tcPr>
          <w:p w:rsidR="001811EC" w:rsidRDefault="001811EC">
            <w:pPr>
              <w:jc w:val="right"/>
              <w:rPr>
                <w:rFonts w:ascii="Arial" w:hAnsi="Arial" w:cs="Arial"/>
                <w:sz w:val="16"/>
                <w:szCs w:val="16"/>
              </w:rPr>
            </w:pPr>
          </w:p>
        </w:tc>
      </w:tr>
      <w:tr w:rsidR="001811EC">
        <w:trPr>
          <w:trHeight w:val="510"/>
        </w:trPr>
        <w:tc>
          <w:tcPr>
            <w:tcW w:w="3640" w:type="dxa"/>
            <w:tcBorders>
              <w:top w:val="single" w:sz="4" w:space="0" w:color="auto"/>
              <w:left w:val="single" w:sz="4" w:space="0" w:color="auto"/>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Bene utilizzato</w:t>
            </w:r>
          </w:p>
        </w:tc>
        <w:tc>
          <w:tcPr>
            <w:tcW w:w="1480" w:type="dxa"/>
            <w:tcBorders>
              <w:top w:val="single" w:sz="4" w:space="0" w:color="auto"/>
              <w:left w:val="nil"/>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Costo per il concedente</w:t>
            </w:r>
          </w:p>
        </w:tc>
        <w:tc>
          <w:tcPr>
            <w:tcW w:w="1000" w:type="dxa"/>
            <w:tcBorders>
              <w:top w:val="single" w:sz="4" w:space="0" w:color="auto"/>
              <w:left w:val="nil"/>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Durata in mesi</w:t>
            </w:r>
          </w:p>
        </w:tc>
        <w:tc>
          <w:tcPr>
            <w:tcW w:w="1720" w:type="dxa"/>
            <w:tcBorders>
              <w:top w:val="single" w:sz="4" w:space="0" w:color="auto"/>
              <w:left w:val="nil"/>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Canone annuo</w:t>
            </w:r>
          </w:p>
        </w:tc>
        <w:tc>
          <w:tcPr>
            <w:tcW w:w="1720" w:type="dxa"/>
            <w:tcBorders>
              <w:top w:val="single" w:sz="4" w:space="0" w:color="auto"/>
              <w:left w:val="nil"/>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Costo riscatto</w:t>
            </w:r>
          </w:p>
        </w:tc>
      </w:tr>
      <w:tr w:rsidR="001811EC">
        <w:trPr>
          <w:trHeight w:val="330"/>
        </w:trPr>
        <w:tc>
          <w:tcPr>
            <w:tcW w:w="3640" w:type="dxa"/>
            <w:tcBorders>
              <w:top w:val="nil"/>
              <w:left w:val="single" w:sz="4" w:space="0" w:color="auto"/>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 </w:t>
            </w:r>
          </w:p>
        </w:tc>
        <w:tc>
          <w:tcPr>
            <w:tcW w:w="1480" w:type="dxa"/>
            <w:tcBorders>
              <w:top w:val="nil"/>
              <w:left w:val="nil"/>
              <w:bottom w:val="single" w:sz="4" w:space="0" w:color="auto"/>
              <w:right w:val="single" w:sz="4" w:space="0" w:color="auto"/>
            </w:tcBorders>
          </w:tcPr>
          <w:p w:rsidR="001811EC" w:rsidRDefault="002121F5">
            <w:pPr>
              <w:rPr>
                <w:rFonts w:ascii="Arial" w:hAnsi="Arial" w:cs="Arial"/>
                <w:b/>
                <w:bCs/>
                <w:i/>
                <w:iCs/>
              </w:rPr>
            </w:pPr>
            <w:r>
              <w:rPr>
                <w:rFonts w:ascii="Arial" w:hAnsi="Arial" w:cs="Arial"/>
                <w:b/>
                <w:bCs/>
                <w:i/>
                <w:iCs/>
              </w:rPr>
              <w:t> </w:t>
            </w:r>
          </w:p>
        </w:tc>
        <w:tc>
          <w:tcPr>
            <w:tcW w:w="1000" w:type="dxa"/>
            <w:tcBorders>
              <w:top w:val="nil"/>
              <w:left w:val="nil"/>
              <w:bottom w:val="single" w:sz="4" w:space="0" w:color="auto"/>
              <w:right w:val="single" w:sz="4" w:space="0" w:color="auto"/>
            </w:tcBorders>
          </w:tcPr>
          <w:p w:rsidR="001811EC" w:rsidRDefault="002121F5">
            <w:pPr>
              <w:rPr>
                <w:rFonts w:ascii="Arial" w:hAnsi="Arial" w:cs="Arial"/>
                <w:b/>
                <w:bCs/>
                <w:i/>
                <w:iCs/>
              </w:rPr>
            </w:pPr>
            <w:r>
              <w:rPr>
                <w:rFonts w:ascii="Arial" w:hAnsi="Arial" w:cs="Arial"/>
                <w:b/>
                <w:bCs/>
                <w:i/>
                <w:iCs/>
              </w:rPr>
              <w:t> </w:t>
            </w:r>
          </w:p>
        </w:tc>
        <w:tc>
          <w:tcPr>
            <w:tcW w:w="1720" w:type="dxa"/>
            <w:tcBorders>
              <w:top w:val="nil"/>
              <w:left w:val="nil"/>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 </w:t>
            </w:r>
          </w:p>
        </w:tc>
        <w:tc>
          <w:tcPr>
            <w:tcW w:w="1720" w:type="dxa"/>
            <w:tcBorders>
              <w:top w:val="nil"/>
              <w:left w:val="nil"/>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 </w:t>
            </w:r>
          </w:p>
        </w:tc>
      </w:tr>
      <w:tr w:rsidR="001811EC">
        <w:trPr>
          <w:trHeight w:val="330"/>
        </w:trPr>
        <w:tc>
          <w:tcPr>
            <w:tcW w:w="3640" w:type="dxa"/>
            <w:tcBorders>
              <w:top w:val="nil"/>
              <w:left w:val="single" w:sz="4" w:space="0" w:color="auto"/>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 </w:t>
            </w:r>
          </w:p>
        </w:tc>
        <w:tc>
          <w:tcPr>
            <w:tcW w:w="1480" w:type="dxa"/>
            <w:tcBorders>
              <w:top w:val="nil"/>
              <w:left w:val="nil"/>
              <w:bottom w:val="single" w:sz="4" w:space="0" w:color="auto"/>
              <w:right w:val="single" w:sz="4" w:space="0" w:color="auto"/>
            </w:tcBorders>
          </w:tcPr>
          <w:p w:rsidR="001811EC" w:rsidRDefault="002121F5">
            <w:pPr>
              <w:rPr>
                <w:rFonts w:ascii="Arial" w:hAnsi="Arial" w:cs="Arial"/>
                <w:b/>
                <w:bCs/>
                <w:i/>
                <w:iCs/>
              </w:rPr>
            </w:pPr>
            <w:r>
              <w:rPr>
                <w:rFonts w:ascii="Arial" w:hAnsi="Arial" w:cs="Arial"/>
                <w:b/>
                <w:bCs/>
                <w:i/>
                <w:iCs/>
              </w:rPr>
              <w:t> </w:t>
            </w:r>
          </w:p>
        </w:tc>
        <w:tc>
          <w:tcPr>
            <w:tcW w:w="1000" w:type="dxa"/>
            <w:tcBorders>
              <w:top w:val="nil"/>
              <w:left w:val="nil"/>
              <w:bottom w:val="single" w:sz="4" w:space="0" w:color="auto"/>
              <w:right w:val="single" w:sz="4" w:space="0" w:color="auto"/>
            </w:tcBorders>
          </w:tcPr>
          <w:p w:rsidR="001811EC" w:rsidRDefault="002121F5">
            <w:pPr>
              <w:rPr>
                <w:rFonts w:ascii="Arial" w:hAnsi="Arial" w:cs="Arial"/>
                <w:b/>
                <w:bCs/>
                <w:i/>
                <w:iCs/>
              </w:rPr>
            </w:pPr>
            <w:r>
              <w:rPr>
                <w:rFonts w:ascii="Arial" w:hAnsi="Arial" w:cs="Arial"/>
                <w:b/>
                <w:bCs/>
                <w:i/>
                <w:iCs/>
              </w:rPr>
              <w:t> </w:t>
            </w:r>
          </w:p>
        </w:tc>
        <w:tc>
          <w:tcPr>
            <w:tcW w:w="1720" w:type="dxa"/>
            <w:tcBorders>
              <w:top w:val="nil"/>
              <w:left w:val="nil"/>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 </w:t>
            </w:r>
          </w:p>
        </w:tc>
        <w:tc>
          <w:tcPr>
            <w:tcW w:w="1720" w:type="dxa"/>
            <w:tcBorders>
              <w:top w:val="nil"/>
              <w:left w:val="nil"/>
              <w:bottom w:val="single" w:sz="4" w:space="0" w:color="auto"/>
              <w:right w:val="single" w:sz="4" w:space="0" w:color="auto"/>
            </w:tcBorders>
          </w:tcPr>
          <w:p w:rsidR="001811EC" w:rsidRDefault="002121F5">
            <w:pPr>
              <w:jc w:val="center"/>
              <w:rPr>
                <w:rFonts w:ascii="Arial" w:hAnsi="Arial" w:cs="Arial"/>
                <w:b/>
                <w:bCs/>
                <w:sz w:val="20"/>
                <w:szCs w:val="20"/>
              </w:rPr>
            </w:pPr>
            <w:r>
              <w:rPr>
                <w:rFonts w:ascii="Arial" w:hAnsi="Arial" w:cs="Arial"/>
                <w:b/>
                <w:bCs/>
                <w:sz w:val="20"/>
                <w:szCs w:val="20"/>
              </w:rPr>
              <w:t> </w:t>
            </w:r>
          </w:p>
        </w:tc>
      </w:tr>
    </w:tbl>
    <w:p w:rsidR="001811EC" w:rsidRDefault="001811EC">
      <w:pPr>
        <w:numPr>
          <w:ilvl w:val="12"/>
          <w:numId w:val="0"/>
        </w:numPr>
        <w:rPr>
          <w:rFonts w:ascii="Arial" w:hAnsi="Arial" w:cs="Arial"/>
          <w:sz w:val="22"/>
          <w:szCs w:val="22"/>
        </w:rPr>
      </w:pPr>
    </w:p>
    <w:p w:rsidR="001811EC" w:rsidRDefault="002121F5">
      <w:pPr>
        <w:rPr>
          <w:rFonts w:ascii="Arial" w:hAnsi="Arial" w:cs="Arial"/>
          <w:sz w:val="22"/>
          <w:szCs w:val="22"/>
        </w:rPr>
      </w:pPr>
      <w:r>
        <w:rPr>
          <w:rFonts w:ascii="Arial" w:hAnsi="Arial" w:cs="Arial"/>
          <w:sz w:val="22"/>
          <w:szCs w:val="22"/>
        </w:rPr>
        <w:t xml:space="preserve">L’organo di revisione ha rilevato che l’ente ha posto in essere dal 1 gennaio 2016 contratti di leasing finanziario e/o contratti assimilati e che tali operazioni sono considerate ai fini del calcolo dell’indebitamento dell’Ente.  </w:t>
      </w:r>
    </w:p>
    <w:p w:rsidR="002353AA" w:rsidRDefault="002353AA">
      <w:pPr>
        <w:rPr>
          <w:rFonts w:ascii="Arial" w:hAnsi="Arial" w:cs="Arial"/>
          <w:sz w:val="22"/>
          <w:szCs w:val="22"/>
        </w:rPr>
      </w:pPr>
    </w:p>
    <w:p w:rsidR="001811EC" w:rsidRPr="00A608DA" w:rsidRDefault="00FA39F6">
      <w:pPr>
        <w:numPr>
          <w:ilvl w:val="12"/>
          <w:numId w:val="0"/>
        </w:numPr>
        <w:rPr>
          <w:rFonts w:ascii="Arial" w:hAnsi="Arial" w:cs="Arial"/>
          <w:b/>
          <w:sz w:val="22"/>
          <w:szCs w:val="22"/>
          <w:u w:val="single"/>
        </w:rPr>
      </w:pPr>
      <w:r w:rsidRPr="00A608DA">
        <w:rPr>
          <w:rFonts w:ascii="Arial" w:hAnsi="Arial" w:cs="Arial"/>
          <w:b/>
          <w:sz w:val="22"/>
          <w:szCs w:val="22"/>
          <w:u w:val="single"/>
        </w:rPr>
        <w:t>Spesa per mobili e arredi</w:t>
      </w:r>
    </w:p>
    <w:p w:rsidR="002353AA" w:rsidRPr="00A608DA" w:rsidRDefault="002353AA">
      <w:pPr>
        <w:numPr>
          <w:ilvl w:val="12"/>
          <w:numId w:val="0"/>
        </w:numPr>
        <w:rPr>
          <w:rFonts w:ascii="Arial" w:hAnsi="Arial" w:cs="Arial"/>
          <w:b/>
          <w:sz w:val="22"/>
          <w:szCs w:val="22"/>
          <w:u w:val="single"/>
        </w:rPr>
      </w:pPr>
    </w:p>
    <w:p w:rsidR="00FA39F6" w:rsidRPr="00FA39F6" w:rsidRDefault="00FA39F6" w:rsidP="002353AA">
      <w:pPr>
        <w:numPr>
          <w:ilvl w:val="12"/>
          <w:numId w:val="0"/>
        </w:numPr>
        <w:jc w:val="both"/>
        <w:rPr>
          <w:rFonts w:ascii="Arial" w:hAnsi="Arial" w:cs="Arial"/>
          <w:sz w:val="22"/>
          <w:szCs w:val="22"/>
        </w:rPr>
      </w:pPr>
      <w:r w:rsidRPr="00A608DA">
        <w:rPr>
          <w:rFonts w:ascii="Arial" w:hAnsi="Arial" w:cs="Arial"/>
          <w:sz w:val="22"/>
          <w:szCs w:val="22"/>
        </w:rPr>
        <w:t xml:space="preserve">La spesa prevista per mobili e arredi rientra nei limiti disposti </w:t>
      </w:r>
      <w:hyperlink r:id="rId208" w:history="1">
        <w:r w:rsidRPr="00A608DA">
          <w:rPr>
            <w:rStyle w:val="Collegamentoipertestuale"/>
            <w:rFonts w:ascii="Arial" w:hAnsi="Arial" w:cs="Arial"/>
            <w:sz w:val="22"/>
            <w:szCs w:val="22"/>
          </w:rPr>
          <w:t>dall’art.1 comma 141 della legge 228/2012</w:t>
        </w:r>
      </w:hyperlink>
      <w:r w:rsidRPr="00A608DA">
        <w:rPr>
          <w:rFonts w:ascii="Arial" w:hAnsi="Arial" w:cs="Arial"/>
          <w:sz w:val="22"/>
          <w:szCs w:val="22"/>
        </w:rPr>
        <w:t>. (Il tetto massimo è pari al 20% della spesa media sostenuta negli anni 2010 e 2011.</w:t>
      </w:r>
      <w:r w:rsidR="002353AA" w:rsidRPr="00A608DA">
        <w:rPr>
          <w:rFonts w:ascii="Arial" w:hAnsi="Arial" w:cs="Arial"/>
          <w:sz w:val="22"/>
          <w:szCs w:val="22"/>
        </w:rPr>
        <w:t xml:space="preserve"> </w:t>
      </w:r>
      <w:r w:rsidRPr="00A608DA">
        <w:rPr>
          <w:rFonts w:ascii="Arial" w:hAnsi="Arial" w:cs="Arial"/>
          <w:sz w:val="22"/>
          <w:szCs w:val="22"/>
        </w:rPr>
        <w:t>Sono escluse dalla limitazione le spese per mobili e arredi destinati all’uso scolastico e dei servizi all’infanzia e quelle relative ad acquisti funzionali alla riduzione di oneri connessi alla conduzione degli immobili).</w:t>
      </w:r>
    </w:p>
    <w:p w:rsidR="001811EC" w:rsidRDefault="001811EC">
      <w:pPr>
        <w:autoSpaceDE w:val="0"/>
        <w:autoSpaceDN w:val="0"/>
        <w:adjustRightInd w:val="0"/>
        <w:jc w:val="both"/>
        <w:rPr>
          <w:rFonts w:ascii="Arial" w:hAnsi="Arial" w:cs="Arial"/>
          <w:i/>
          <w:color w:val="0000FF"/>
          <w:sz w:val="20"/>
          <w:szCs w:val="20"/>
        </w:rPr>
      </w:pPr>
    </w:p>
    <w:p w:rsidR="001811EC" w:rsidRDefault="002121F5">
      <w:pPr>
        <w:rPr>
          <w:rFonts w:ascii="Arial" w:hAnsi="Arial" w:cs="Arial"/>
          <w:b/>
          <w:sz w:val="22"/>
          <w:szCs w:val="22"/>
          <w:u w:val="single"/>
        </w:rPr>
      </w:pPr>
      <w:r>
        <w:rPr>
          <w:rFonts w:ascii="Arial" w:hAnsi="Arial" w:cs="Arial"/>
          <w:b/>
          <w:sz w:val="22"/>
          <w:szCs w:val="22"/>
          <w:u w:val="single"/>
        </w:rPr>
        <w:t>Limitazione acquisto immobili</w:t>
      </w:r>
    </w:p>
    <w:p w:rsidR="001811EC" w:rsidRDefault="001811EC">
      <w:pPr>
        <w:jc w:val="both"/>
        <w:rPr>
          <w:rStyle w:val="Enfasigrassetto"/>
          <w:rFonts w:ascii="Arial" w:hAnsi="Arial" w:cs="Arial"/>
          <w:bCs/>
          <w:sz w:val="22"/>
          <w:szCs w:val="22"/>
        </w:rPr>
      </w:pPr>
    </w:p>
    <w:p w:rsidR="001811EC" w:rsidRDefault="002121F5">
      <w:pPr>
        <w:jc w:val="both"/>
        <w:rPr>
          <w:rFonts w:ascii="Arial" w:hAnsi="Arial" w:cs="Arial"/>
          <w:sz w:val="22"/>
          <w:szCs w:val="22"/>
        </w:rPr>
      </w:pPr>
      <w:r>
        <w:rPr>
          <w:rFonts w:ascii="Arial" w:hAnsi="Arial" w:cs="Arial"/>
          <w:sz w:val="22"/>
          <w:szCs w:val="22"/>
        </w:rPr>
        <w:t>La spesa prevista per acquisto immobili rientra nei limiti disposti dall’</w:t>
      </w:r>
      <w:hyperlink r:id="rId209" w:history="1">
        <w:r>
          <w:rPr>
            <w:rStyle w:val="Collegamentoipertestuale"/>
            <w:rFonts w:ascii="Arial" w:hAnsi="Arial" w:cs="Arial"/>
            <w:sz w:val="22"/>
            <w:szCs w:val="22"/>
          </w:rPr>
          <w:t>art.1, comma 138 della Legge n.228 del 24/12/2012</w:t>
        </w:r>
      </w:hyperlink>
      <w:r>
        <w:rPr>
          <w:rFonts w:ascii="Arial" w:hAnsi="Arial" w:cs="Arial"/>
          <w:sz w:val="22"/>
          <w:szCs w:val="22"/>
        </w:rPr>
        <w:t>.</w:t>
      </w:r>
    </w:p>
    <w:p w:rsidR="001811EC" w:rsidRDefault="002121F5">
      <w:pPr>
        <w:jc w:val="both"/>
        <w:rPr>
          <w:rFonts w:ascii="Arial" w:hAnsi="Arial" w:cs="Arial"/>
          <w:i/>
          <w:color w:val="0000FF"/>
          <w:sz w:val="20"/>
          <w:szCs w:val="20"/>
        </w:rPr>
      </w:pPr>
      <w:r>
        <w:rPr>
          <w:rFonts w:ascii="Arial" w:hAnsi="Arial" w:cs="Arial"/>
          <w:i/>
          <w:color w:val="0000FF"/>
          <w:sz w:val="20"/>
          <w:szCs w:val="20"/>
        </w:rPr>
        <w:t>(Ai sensi del comma 1 ter dell'</w:t>
      </w:r>
      <w:hyperlink r:id="rId210" w:history="1">
        <w:r>
          <w:rPr>
            <w:rStyle w:val="Collegamentoipertestuale"/>
            <w:rFonts w:ascii="Arial" w:hAnsi="Arial" w:cs="Arial"/>
            <w:i/>
            <w:sz w:val="20"/>
            <w:szCs w:val="20"/>
          </w:rPr>
          <w:t>articolo 12 del D.L. 6 luglio 2011, n. 98</w:t>
        </w:r>
      </w:hyperlink>
      <w:r>
        <w:rPr>
          <w:rFonts w:ascii="Arial" w:hAnsi="Arial" w:cs="Arial"/>
          <w:i/>
          <w:color w:val="0000FF"/>
          <w:sz w:val="20"/>
          <w:szCs w:val="20"/>
        </w:rPr>
        <w:t xml:space="preserve">, convertito, con modificazioni, dalla </w:t>
      </w:r>
      <w:hyperlink r:id="rId211" w:history="1">
        <w:r>
          <w:rPr>
            <w:rStyle w:val="Collegamentoipertestuale"/>
            <w:rFonts w:ascii="Arial" w:hAnsi="Arial" w:cs="Arial"/>
            <w:i/>
            <w:sz w:val="20"/>
            <w:szCs w:val="20"/>
          </w:rPr>
          <w:t>Legge 15 luglio 2011, n. 111</w:t>
        </w:r>
      </w:hyperlink>
      <w:r>
        <w:rPr>
          <w:rFonts w:ascii="Arial" w:hAnsi="Arial" w:cs="Arial"/>
          <w:i/>
          <w:color w:val="0000FF"/>
          <w:sz w:val="20"/>
          <w:szCs w:val="20"/>
        </w:rPr>
        <w:t>, a decorrere dal 1º gennaio 2014 al fine di pervenire a risparmi di spesa ulteriori rispetto a quelli previsti dal patto di stabilità interno, gli enti territoriali effettuano operazioni di acquisto di immobili solo:</w:t>
      </w:r>
    </w:p>
    <w:p w:rsidR="001811EC" w:rsidRDefault="002121F5">
      <w:pPr>
        <w:jc w:val="both"/>
        <w:rPr>
          <w:rFonts w:ascii="Arial" w:hAnsi="Arial" w:cs="Arial"/>
          <w:i/>
          <w:color w:val="0000FF"/>
          <w:sz w:val="20"/>
          <w:szCs w:val="20"/>
        </w:rPr>
      </w:pPr>
      <w:r>
        <w:rPr>
          <w:rFonts w:ascii="Arial" w:hAnsi="Arial" w:cs="Arial"/>
          <w:i/>
          <w:color w:val="0000FF"/>
          <w:sz w:val="20"/>
          <w:szCs w:val="20"/>
        </w:rPr>
        <w:t xml:space="preserve">a) siano comprovate </w:t>
      </w:r>
      <w:proofErr w:type="spellStart"/>
      <w:r>
        <w:rPr>
          <w:rFonts w:ascii="Arial" w:hAnsi="Arial" w:cs="Arial"/>
          <w:i/>
          <w:color w:val="0000FF"/>
          <w:sz w:val="20"/>
          <w:szCs w:val="20"/>
        </w:rPr>
        <w:t>documentalmente</w:t>
      </w:r>
      <w:proofErr w:type="spellEnd"/>
      <w:r>
        <w:rPr>
          <w:rFonts w:ascii="Arial" w:hAnsi="Arial" w:cs="Arial"/>
          <w:i/>
          <w:color w:val="0000FF"/>
          <w:sz w:val="20"/>
          <w:szCs w:val="20"/>
        </w:rPr>
        <w:t xml:space="preserve"> l'indispensabilità e l'</w:t>
      </w:r>
      <w:proofErr w:type="spellStart"/>
      <w:r>
        <w:rPr>
          <w:rFonts w:ascii="Arial" w:hAnsi="Arial" w:cs="Arial"/>
          <w:i/>
          <w:color w:val="0000FF"/>
          <w:sz w:val="20"/>
          <w:szCs w:val="20"/>
        </w:rPr>
        <w:t>indilazionabilità</w:t>
      </w:r>
      <w:proofErr w:type="spellEnd"/>
      <w:r>
        <w:rPr>
          <w:rFonts w:ascii="Arial" w:hAnsi="Arial" w:cs="Arial"/>
          <w:i/>
          <w:color w:val="0000FF"/>
          <w:sz w:val="20"/>
          <w:szCs w:val="20"/>
        </w:rPr>
        <w:t xml:space="preserve"> attestate dal responsabile del procedimento;</w:t>
      </w:r>
    </w:p>
    <w:p w:rsidR="001811EC" w:rsidRDefault="002121F5">
      <w:pPr>
        <w:jc w:val="both"/>
        <w:rPr>
          <w:rFonts w:ascii="Arial" w:hAnsi="Arial" w:cs="Arial"/>
          <w:i/>
          <w:color w:val="0000FF"/>
          <w:sz w:val="20"/>
          <w:szCs w:val="20"/>
        </w:rPr>
      </w:pPr>
      <w:r>
        <w:rPr>
          <w:rFonts w:ascii="Arial" w:hAnsi="Arial" w:cs="Arial"/>
          <w:i/>
          <w:color w:val="0000FF"/>
          <w:sz w:val="20"/>
          <w:szCs w:val="20"/>
        </w:rPr>
        <w:t>b) la congruità del prezzo sia attestata dall'Agenzia del demanio, previo rimborso delle spese.</w:t>
      </w:r>
    </w:p>
    <w:p w:rsidR="001811EC" w:rsidRDefault="002121F5">
      <w:pPr>
        <w:jc w:val="both"/>
        <w:rPr>
          <w:rFonts w:ascii="Arial" w:hAnsi="Arial" w:cs="Arial"/>
          <w:color w:val="0000FF"/>
          <w:sz w:val="20"/>
          <w:szCs w:val="20"/>
        </w:rPr>
      </w:pPr>
      <w:r>
        <w:rPr>
          <w:rFonts w:ascii="Arial" w:hAnsi="Arial" w:cs="Arial"/>
          <w:i/>
          <w:color w:val="0000FF"/>
          <w:sz w:val="20"/>
          <w:szCs w:val="20"/>
        </w:rPr>
        <w:t>c) delle predette operazioni sia data preventiva notizia, con l'indicazione del soggetto alienante e del prezzo pattuito, nel sito internet istituzionale dell'ente</w:t>
      </w:r>
      <w:r>
        <w:rPr>
          <w:rFonts w:ascii="Arial" w:hAnsi="Arial" w:cs="Arial"/>
          <w:color w:val="0000FF"/>
          <w:sz w:val="20"/>
          <w:szCs w:val="20"/>
        </w:rPr>
        <w:t>.)</w:t>
      </w:r>
    </w:p>
    <w:p w:rsidR="001811EC" w:rsidRDefault="001811EC">
      <w:pPr>
        <w:jc w:val="both"/>
        <w:rPr>
          <w:rFonts w:ascii="Arial" w:hAnsi="Arial" w:cs="Arial"/>
          <w:b/>
          <w:i/>
          <w:color w:val="0000FF"/>
          <w:sz w:val="18"/>
          <w:szCs w:val="18"/>
        </w:rPr>
      </w:pPr>
    </w:p>
    <w:p w:rsidR="001811EC" w:rsidRDefault="001811EC">
      <w:pPr>
        <w:rPr>
          <w:rFonts w:ascii="Arial" w:hAnsi="Arial" w:cs="Arial"/>
        </w:rPr>
      </w:pPr>
    </w:p>
    <w:p w:rsidR="001811EC" w:rsidRDefault="001811EC">
      <w:pPr>
        <w:rPr>
          <w:rFonts w:ascii="Arial" w:hAnsi="Arial" w:cs="Arial"/>
        </w:rPr>
      </w:pPr>
    </w:p>
    <w:p w:rsidR="001811EC" w:rsidRDefault="002121F5">
      <w:pPr>
        <w:pStyle w:val="Titolo1"/>
        <w:shd w:val="clear" w:color="auto" w:fill="B6DDE8" w:themeFill="accent5" w:themeFillTint="66"/>
      </w:pPr>
      <w:bookmarkStart w:id="98" w:name="_INDEBITAMENTO"/>
      <w:bookmarkStart w:id="99" w:name="_Toc469216220"/>
      <w:bookmarkEnd w:id="98"/>
      <w:r>
        <w:t>INDEBITAMENTO</w:t>
      </w:r>
      <w:bookmarkEnd w:id="99"/>
    </w:p>
    <w:p w:rsidR="001811EC" w:rsidRDefault="001811EC">
      <w:pPr>
        <w:rPr>
          <w:rFonts w:ascii="Arial" w:hAnsi="Arial" w:cs="Arial"/>
        </w:rPr>
      </w:pPr>
    </w:p>
    <w:p w:rsidR="001811EC" w:rsidRDefault="002121F5">
      <w:pPr>
        <w:spacing w:after="120"/>
        <w:jc w:val="both"/>
        <w:rPr>
          <w:rFonts w:ascii="Arial" w:hAnsi="Arial" w:cs="Arial"/>
          <w:color w:val="000000"/>
          <w:sz w:val="16"/>
          <w:szCs w:val="16"/>
        </w:rPr>
      </w:pPr>
      <w:r>
        <w:rPr>
          <w:rFonts w:ascii="Arial" w:hAnsi="Arial" w:cs="Arial"/>
          <w:sz w:val="22"/>
          <w:szCs w:val="22"/>
        </w:rPr>
        <w:t>L’ammontare dei prestiti previsti per il finanziamento di spese in conto capitale risulta compatibile per gli anni 2017, 2018 e 2019 con il limite della capacità di indebitamento previsto dall’</w:t>
      </w:r>
      <w:hyperlink r:id="rId212" w:history="1">
        <w:r>
          <w:rPr>
            <w:rStyle w:val="Collegamentoipertestuale"/>
            <w:rFonts w:ascii="Arial" w:hAnsi="Arial" w:cs="Arial"/>
            <w:sz w:val="22"/>
            <w:szCs w:val="22"/>
          </w:rPr>
          <w:t>articolo 204 del TUEL</w:t>
        </w:r>
      </w:hyperlink>
      <w:bookmarkStart w:id="100" w:name="_MON_1497458423"/>
      <w:bookmarkEnd w:id="100"/>
      <w:r>
        <w:rPr>
          <w:rFonts w:ascii="Arial" w:hAnsi="Arial" w:cs="Arial"/>
          <w:sz w:val="22"/>
          <w:szCs w:val="22"/>
        </w:rPr>
        <w:t xml:space="preserve"> </w:t>
      </w:r>
      <w:r w:rsidRPr="00C27228">
        <w:rPr>
          <w:rFonts w:ascii="Arial" w:hAnsi="Arial" w:cs="Arial"/>
          <w:sz w:val="22"/>
          <w:szCs w:val="22"/>
          <w:highlight w:val="yellow"/>
        </w:rPr>
        <w:t>e nel rispetto dell’</w:t>
      </w:r>
      <w:hyperlink r:id="rId213" w:history="1">
        <w:r w:rsidRPr="00C27228">
          <w:rPr>
            <w:rStyle w:val="Collegamentoipertestuale"/>
            <w:rFonts w:ascii="Arial" w:hAnsi="Arial" w:cs="Arial"/>
            <w:sz w:val="22"/>
            <w:szCs w:val="22"/>
            <w:highlight w:val="yellow"/>
          </w:rPr>
          <w:t>art.203 del TUEL</w:t>
        </w:r>
      </w:hyperlink>
      <w:r w:rsidRPr="00A608DA">
        <w:rPr>
          <w:rFonts w:ascii="Arial" w:hAnsi="Arial" w:cs="Arial"/>
          <w:sz w:val="22"/>
          <w:szCs w:val="22"/>
        </w:rPr>
        <w:t>.</w:t>
      </w:r>
    </w:p>
    <w:p w:rsidR="001811EC" w:rsidRDefault="001811EC">
      <w:pPr>
        <w:rPr>
          <w:rFonts w:ascii="Arial" w:hAnsi="Arial" w:cs="Arial"/>
          <w:sz w:val="22"/>
          <w:szCs w:val="22"/>
        </w:rPr>
      </w:pPr>
    </w:p>
    <w:p w:rsidR="001811EC" w:rsidRDefault="002121F5">
      <w:pPr>
        <w:pStyle w:val="Corpodeltesto21"/>
        <w:rPr>
          <w:rStyle w:val="Collegamentoipertestuale"/>
          <w:rFonts w:cs="Arial"/>
        </w:rPr>
      </w:pPr>
      <w:r>
        <w:rPr>
          <w:rFonts w:cs="Arial"/>
          <w:b w:val="0"/>
          <w:i w:val="0"/>
          <w:sz w:val="22"/>
          <w:szCs w:val="22"/>
        </w:rPr>
        <w:t xml:space="preserve">L’incidenza degli interessi passivi compresi quelli derivanti da garanzie fideiussorie prestate, sulle entrate correnti del penultimo rendiconto precedente o su quelle previste è così prevista in relazione anche ai limiti di cui al citato </w:t>
      </w:r>
      <w:hyperlink r:id="rId214" w:history="1">
        <w:r>
          <w:rPr>
            <w:rStyle w:val="Collegamentoipertestuale"/>
            <w:rFonts w:cs="Arial"/>
            <w:b w:val="0"/>
            <w:i w:val="0"/>
            <w:sz w:val="22"/>
            <w:szCs w:val="22"/>
          </w:rPr>
          <w:t>art. 204 del TUEL</w:t>
        </w:r>
      </w:hyperlink>
      <w:r>
        <w:rPr>
          <w:rStyle w:val="Collegamentoipertestuale"/>
          <w:rFonts w:cs="Arial"/>
        </w:rPr>
        <w:t>;</w:t>
      </w:r>
    </w:p>
    <w:p w:rsidR="001811EC" w:rsidRDefault="002121F5">
      <w:pPr>
        <w:pStyle w:val="Corpodeltesto21"/>
        <w:rPr>
          <w:rFonts w:cs="Arial"/>
          <w:b w:val="0"/>
          <w:i w:val="0"/>
          <w:sz w:val="22"/>
          <w:szCs w:val="22"/>
        </w:rPr>
      </w:pPr>
      <w:r w:rsidRPr="00FF759A">
        <w:rPr>
          <w:rStyle w:val="Collegamentoipertestuale"/>
          <w:rFonts w:cs="Arial"/>
        </w:rPr>
        <w:object w:dxaOrig="9037" w:dyaOrig="1674">
          <v:shape id="_x0000_i1054" type="#_x0000_t75" style="width:451.15pt;height:84.15pt" o:ole="">
            <v:imagedata r:id="rId215" o:title=""/>
          </v:shape>
          <o:OLEObject Type="Embed" ProgID="Excel.Sheet.12" ShapeID="_x0000_i1054" DrawAspect="Content" ObjectID="_1547620582" r:id="rId216"/>
        </w:object>
      </w:r>
    </w:p>
    <w:p w:rsidR="001811EC" w:rsidRDefault="002121F5">
      <w:pPr>
        <w:rPr>
          <w:rFonts w:ascii="Arial" w:hAnsi="Arial" w:cs="Arial"/>
          <w:b/>
          <w:sz w:val="22"/>
          <w:szCs w:val="22"/>
          <w:u w:val="single"/>
        </w:rPr>
      </w:pPr>
      <w:r>
        <w:rPr>
          <w:rFonts w:ascii="Arial" w:hAnsi="Arial" w:cs="Arial"/>
          <w:b/>
          <w:sz w:val="22"/>
          <w:szCs w:val="22"/>
          <w:u w:val="single"/>
        </w:rPr>
        <w:lastRenderedPageBreak/>
        <w:t>Interessi passivi e oneri finanziari diversi</w:t>
      </w:r>
    </w:p>
    <w:p w:rsidR="001811EC" w:rsidRDefault="002121F5">
      <w:pPr>
        <w:pStyle w:val="Corpodeltesto21"/>
        <w:spacing w:before="120"/>
        <w:rPr>
          <w:rFonts w:cs="Arial"/>
          <w:b w:val="0"/>
          <w:i w:val="0"/>
          <w:sz w:val="22"/>
          <w:szCs w:val="22"/>
        </w:rPr>
      </w:pPr>
      <w:r>
        <w:rPr>
          <w:rFonts w:cs="Arial"/>
          <w:b w:val="0"/>
          <w:i w:val="0"/>
          <w:sz w:val="22"/>
          <w:szCs w:val="22"/>
        </w:rPr>
        <w:t>La previsione di spesa per gli anni 2017, 2018 e 2019 per interessi passivi e oneri finanziari diversi, pari a euro ……….. è congrua sulla base del riepilogo predisposto dal responsabile del servizio finanziario degli altri prestiti contratti a tutt’oggi e rientra nel limite di indebitamento previsto dall’</w:t>
      </w:r>
      <w:hyperlink r:id="rId217" w:history="1">
        <w:r>
          <w:rPr>
            <w:rStyle w:val="Collegamentoipertestuale"/>
            <w:rFonts w:cs="Arial"/>
            <w:b w:val="0"/>
            <w:i w:val="0"/>
            <w:sz w:val="22"/>
            <w:szCs w:val="22"/>
          </w:rPr>
          <w:t>articolo 204 del TUEL</w:t>
        </w:r>
      </w:hyperlink>
      <w:r>
        <w:rPr>
          <w:rFonts w:cs="Arial"/>
          <w:i w:val="0"/>
          <w:sz w:val="20"/>
        </w:rPr>
        <w:t xml:space="preserve"> </w:t>
      </w:r>
      <w:r>
        <w:rPr>
          <w:rFonts w:cs="Arial"/>
          <w:b w:val="0"/>
          <w:i w:val="0"/>
          <w:sz w:val="22"/>
          <w:szCs w:val="22"/>
        </w:rPr>
        <w:t>come calcolato nel precedente prospetto</w:t>
      </w:r>
      <w:r>
        <w:rPr>
          <w:rFonts w:cs="Arial"/>
          <w:i w:val="0"/>
          <w:sz w:val="20"/>
        </w:rPr>
        <w:t>.</w:t>
      </w:r>
    </w:p>
    <w:p w:rsidR="001811EC" w:rsidRDefault="001811EC">
      <w:pPr>
        <w:widowControl w:val="0"/>
        <w:autoSpaceDE w:val="0"/>
        <w:autoSpaceDN w:val="0"/>
        <w:adjustRightInd w:val="0"/>
        <w:rPr>
          <w:rFonts w:ascii="Arial" w:hAnsi="Arial" w:cs="Arial"/>
          <w:sz w:val="22"/>
          <w:szCs w:val="22"/>
          <w:u w:val="single"/>
        </w:rPr>
      </w:pPr>
    </w:p>
    <w:p w:rsidR="001811EC" w:rsidRDefault="002121F5">
      <w:pPr>
        <w:widowControl w:val="0"/>
        <w:autoSpaceDE w:val="0"/>
        <w:autoSpaceDN w:val="0"/>
        <w:adjustRightInd w:val="0"/>
        <w:rPr>
          <w:rFonts w:ascii="Arial" w:hAnsi="Arial" w:cs="Arial"/>
          <w:sz w:val="22"/>
          <w:szCs w:val="22"/>
          <w:u w:val="single"/>
        </w:rPr>
      </w:pPr>
      <w:r>
        <w:rPr>
          <w:rFonts w:ascii="Arial" w:hAnsi="Arial" w:cs="Arial"/>
          <w:sz w:val="22"/>
          <w:szCs w:val="22"/>
          <w:u w:val="single"/>
        </w:rPr>
        <w:t>L’indebitamento dell’ente subisce la seguente evoluzione:</w:t>
      </w:r>
    </w:p>
    <w:p w:rsidR="001811EC" w:rsidRDefault="001811EC">
      <w:pPr>
        <w:widowControl w:val="0"/>
        <w:autoSpaceDE w:val="0"/>
        <w:autoSpaceDN w:val="0"/>
        <w:adjustRightInd w:val="0"/>
        <w:rPr>
          <w:rFonts w:ascii="Arial" w:hAnsi="Arial" w:cs="Arial"/>
          <w:sz w:val="22"/>
          <w:szCs w:val="22"/>
          <w:u w:val="single"/>
        </w:rPr>
      </w:pPr>
    </w:p>
    <w:bookmarkStart w:id="101" w:name="_MON_1542697160"/>
    <w:bookmarkEnd w:id="101"/>
    <w:p w:rsidR="001811EC" w:rsidRDefault="002121F5">
      <w:pPr>
        <w:widowControl w:val="0"/>
        <w:autoSpaceDE w:val="0"/>
        <w:autoSpaceDN w:val="0"/>
        <w:adjustRightInd w:val="0"/>
        <w:rPr>
          <w:rFonts w:ascii="Arial" w:hAnsi="Arial" w:cs="Arial"/>
          <w:sz w:val="22"/>
          <w:szCs w:val="22"/>
        </w:rPr>
      </w:pPr>
      <w:r w:rsidRPr="00FF759A">
        <w:rPr>
          <w:rFonts w:ascii="Arial" w:hAnsi="Arial" w:cs="Arial"/>
          <w:sz w:val="22"/>
          <w:szCs w:val="22"/>
          <w:u w:val="single"/>
        </w:rPr>
        <w:object w:dxaOrig="10153" w:dyaOrig="2053">
          <v:shape id="_x0000_i1055" type="#_x0000_t75" style="width:508.7pt;height:102.85pt" o:ole="">
            <v:imagedata r:id="rId218" o:title=""/>
          </v:shape>
          <o:OLEObject Type="Embed" ProgID="Excel.Sheet.12" ShapeID="_x0000_i1055" DrawAspect="Content" ObjectID="_1547620583" r:id="rId219"/>
        </w:object>
      </w:r>
      <w:bookmarkStart w:id="102" w:name="_MON_1513268441"/>
      <w:bookmarkEnd w:id="102"/>
    </w:p>
    <w:p w:rsidR="001811EC" w:rsidRDefault="002121F5">
      <w:pPr>
        <w:widowControl w:val="0"/>
        <w:autoSpaceDE w:val="0"/>
        <w:autoSpaceDN w:val="0"/>
        <w:adjustRightInd w:val="0"/>
        <w:jc w:val="both"/>
        <w:rPr>
          <w:rFonts w:ascii="Arial" w:hAnsi="Arial" w:cs="Arial"/>
          <w:sz w:val="22"/>
          <w:szCs w:val="22"/>
        </w:rPr>
      </w:pPr>
      <w:r>
        <w:rPr>
          <w:rFonts w:ascii="Arial" w:hAnsi="Arial" w:cs="Arial"/>
          <w:sz w:val="22"/>
          <w:szCs w:val="22"/>
        </w:rPr>
        <w:t>Gli oneri finanziari per ammortamento prestiti ed il rimborso degli stessi in conto capitale registra la seguente evoluzione:</w:t>
      </w:r>
    </w:p>
    <w:p w:rsidR="001811EC" w:rsidRDefault="001811EC">
      <w:pPr>
        <w:widowControl w:val="0"/>
        <w:autoSpaceDE w:val="0"/>
        <w:autoSpaceDN w:val="0"/>
        <w:adjustRightInd w:val="0"/>
        <w:jc w:val="both"/>
        <w:rPr>
          <w:rFonts w:ascii="Arial" w:hAnsi="Arial" w:cs="Arial"/>
          <w:sz w:val="22"/>
          <w:szCs w:val="22"/>
        </w:rPr>
      </w:pPr>
    </w:p>
    <w:bookmarkStart w:id="103" w:name="_MON_1542707371"/>
    <w:bookmarkEnd w:id="103"/>
    <w:p w:rsidR="001811EC" w:rsidRDefault="002121F5">
      <w:pPr>
        <w:widowControl w:val="0"/>
        <w:autoSpaceDE w:val="0"/>
        <w:autoSpaceDN w:val="0"/>
        <w:adjustRightInd w:val="0"/>
        <w:jc w:val="center"/>
        <w:rPr>
          <w:rFonts w:ascii="Arial" w:hAnsi="Arial" w:cs="Arial"/>
          <w:sz w:val="22"/>
          <w:szCs w:val="22"/>
        </w:rPr>
      </w:pPr>
      <w:r w:rsidRPr="00FF759A">
        <w:rPr>
          <w:rFonts w:ascii="Arial" w:hAnsi="Arial" w:cs="Arial"/>
          <w:sz w:val="22"/>
          <w:szCs w:val="22"/>
        </w:rPr>
        <w:object w:dxaOrig="8977" w:dyaOrig="1181">
          <v:shape id="_x0000_i1056" type="#_x0000_t75" style="width:448.35pt;height:58.9pt" o:ole="">
            <v:imagedata r:id="rId220" o:title=""/>
          </v:shape>
          <o:OLEObject Type="Embed" ProgID="Excel.Sheet.12" ShapeID="_x0000_i1056" DrawAspect="Content" ObjectID="_1547620584" r:id="rId221"/>
        </w:object>
      </w:r>
    </w:p>
    <w:p w:rsidR="001811EC" w:rsidRDefault="001811EC">
      <w:pPr>
        <w:widowControl w:val="0"/>
        <w:autoSpaceDE w:val="0"/>
        <w:autoSpaceDN w:val="0"/>
        <w:adjustRightInd w:val="0"/>
        <w:jc w:val="both"/>
        <w:rPr>
          <w:rFonts w:ascii="Arial" w:hAnsi="Arial" w:cs="Arial"/>
          <w:sz w:val="22"/>
          <w:szCs w:val="22"/>
        </w:rPr>
      </w:pPr>
    </w:p>
    <w:p w:rsidR="001811EC" w:rsidRPr="00C27228" w:rsidRDefault="002121F5">
      <w:pPr>
        <w:widowControl w:val="0"/>
        <w:autoSpaceDE w:val="0"/>
        <w:autoSpaceDN w:val="0"/>
        <w:adjustRightInd w:val="0"/>
        <w:jc w:val="both"/>
        <w:rPr>
          <w:rFonts w:ascii="Arial" w:hAnsi="Arial" w:cs="Arial"/>
          <w:sz w:val="22"/>
          <w:szCs w:val="22"/>
          <w:highlight w:val="yellow"/>
        </w:rPr>
      </w:pPr>
      <w:r w:rsidRPr="00C27228">
        <w:rPr>
          <w:rFonts w:ascii="Arial" w:hAnsi="Arial" w:cs="Arial"/>
          <w:sz w:val="22"/>
          <w:szCs w:val="22"/>
          <w:highlight w:val="yellow"/>
        </w:rPr>
        <w:t>L’ente ha prestato garanzie principali e sussidiarie per le quali è stato costituito regolare accantonamento come da prospetto seguente:</w:t>
      </w:r>
    </w:p>
    <w:p w:rsidR="001811EC" w:rsidRPr="00C27228" w:rsidRDefault="001811EC">
      <w:pPr>
        <w:widowControl w:val="0"/>
        <w:autoSpaceDE w:val="0"/>
        <w:autoSpaceDN w:val="0"/>
        <w:adjustRightInd w:val="0"/>
        <w:jc w:val="both"/>
        <w:rPr>
          <w:rFonts w:ascii="Arial" w:hAnsi="Arial" w:cs="Arial"/>
          <w:sz w:val="22"/>
          <w:szCs w:val="22"/>
          <w:highlight w:val="yellow"/>
        </w:rPr>
      </w:pPr>
    </w:p>
    <w:bookmarkStart w:id="104" w:name="_MON_1542707393"/>
    <w:bookmarkEnd w:id="104"/>
    <w:p w:rsidR="001811EC" w:rsidRPr="00C27228" w:rsidRDefault="002121F5">
      <w:pPr>
        <w:widowControl w:val="0"/>
        <w:autoSpaceDE w:val="0"/>
        <w:autoSpaceDN w:val="0"/>
        <w:adjustRightInd w:val="0"/>
        <w:jc w:val="center"/>
        <w:rPr>
          <w:rFonts w:ascii="Arial" w:hAnsi="Arial" w:cs="Arial"/>
          <w:sz w:val="22"/>
          <w:szCs w:val="22"/>
          <w:highlight w:val="yellow"/>
        </w:rPr>
      </w:pPr>
      <w:r w:rsidRPr="00C27228">
        <w:rPr>
          <w:rFonts w:ascii="Arial" w:hAnsi="Arial" w:cs="Arial"/>
          <w:sz w:val="22"/>
          <w:szCs w:val="22"/>
          <w:highlight w:val="yellow"/>
        </w:rPr>
        <w:object w:dxaOrig="7869" w:dyaOrig="1172">
          <v:shape id="_x0000_i1057" type="#_x0000_t75" style="width:393.2pt;height:57.5pt" o:ole="">
            <v:imagedata r:id="rId222" o:title=""/>
          </v:shape>
          <o:OLEObject Type="Embed" ProgID="Excel.Sheet.12" ShapeID="_x0000_i1057" DrawAspect="Content" ObjectID="_1547620585" r:id="rId223"/>
        </w:object>
      </w:r>
    </w:p>
    <w:p w:rsidR="001811EC" w:rsidRPr="00C27228" w:rsidRDefault="002121F5">
      <w:pPr>
        <w:spacing w:before="100" w:beforeAutospacing="1" w:after="100" w:afterAutospacing="1"/>
        <w:jc w:val="both"/>
        <w:rPr>
          <w:rFonts w:ascii="Arial" w:hAnsi="Arial" w:cs="Arial"/>
          <w:color w:val="000000"/>
          <w:sz w:val="22"/>
          <w:szCs w:val="22"/>
          <w:highlight w:val="yellow"/>
        </w:rPr>
      </w:pPr>
      <w:r w:rsidRPr="00C27228">
        <w:rPr>
          <w:rFonts w:ascii="Arial" w:hAnsi="Arial" w:cs="Arial"/>
          <w:color w:val="000000"/>
          <w:sz w:val="22"/>
          <w:szCs w:val="22"/>
          <w:highlight w:val="yellow"/>
        </w:rPr>
        <w:t>L’organo di revisione ricorda che ai sensi dell’</w:t>
      </w:r>
      <w:hyperlink r:id="rId224" w:history="1">
        <w:r w:rsidRPr="00C27228">
          <w:rPr>
            <w:rStyle w:val="Collegamentoipertestuale"/>
            <w:rFonts w:ascii="Arial" w:hAnsi="Arial" w:cs="Arial"/>
            <w:sz w:val="22"/>
            <w:szCs w:val="22"/>
            <w:highlight w:val="yellow"/>
          </w:rPr>
          <w:t>art.10 della legge 243/2012</w:t>
        </w:r>
      </w:hyperlink>
      <w:r w:rsidRPr="00C27228">
        <w:rPr>
          <w:rFonts w:ascii="Arial" w:hAnsi="Arial" w:cs="Arial"/>
          <w:color w:val="000000"/>
          <w:sz w:val="22"/>
          <w:szCs w:val="22"/>
          <w:highlight w:val="yellow"/>
        </w:rPr>
        <w:t>:</w:t>
      </w:r>
    </w:p>
    <w:p w:rsidR="001811EC" w:rsidRPr="00C27228" w:rsidRDefault="002121F5">
      <w:pPr>
        <w:pStyle w:val="Paragrafoelenco"/>
        <w:numPr>
          <w:ilvl w:val="0"/>
          <w:numId w:val="18"/>
        </w:numPr>
        <w:spacing w:before="100" w:beforeAutospacing="1" w:after="100" w:afterAutospacing="1"/>
        <w:jc w:val="both"/>
        <w:rPr>
          <w:rFonts w:ascii="Arial" w:hAnsi="Arial" w:cs="Arial"/>
          <w:color w:val="000000"/>
          <w:sz w:val="22"/>
          <w:szCs w:val="22"/>
          <w:highlight w:val="yellow"/>
        </w:rPr>
      </w:pPr>
      <w:r w:rsidRPr="00C27228">
        <w:rPr>
          <w:rFonts w:ascii="Arial" w:hAnsi="Arial" w:cs="Arial"/>
          <w:color w:val="000000"/>
          <w:sz w:val="22"/>
          <w:szCs w:val="22"/>
          <w:highlight w:val="yellow"/>
        </w:rPr>
        <w:t>il ricorso all'indebitamento da parte delle regioni, dei comuni, delle province, delle città metropolitane e delle province autonome di Trento e di Bolzano è consentito esclusivamente per finanziare spese di investimento;</w:t>
      </w:r>
    </w:p>
    <w:p w:rsidR="001811EC" w:rsidRPr="00C27228" w:rsidRDefault="002121F5">
      <w:pPr>
        <w:pStyle w:val="Paragrafoelenco"/>
        <w:numPr>
          <w:ilvl w:val="0"/>
          <w:numId w:val="18"/>
        </w:numPr>
        <w:spacing w:before="100" w:beforeAutospacing="1" w:after="100" w:afterAutospacing="1"/>
        <w:jc w:val="both"/>
        <w:rPr>
          <w:rFonts w:ascii="Arial" w:hAnsi="Arial" w:cs="Arial"/>
          <w:color w:val="000000"/>
          <w:sz w:val="22"/>
          <w:szCs w:val="22"/>
          <w:highlight w:val="yellow"/>
        </w:rPr>
      </w:pPr>
      <w:r w:rsidRPr="00C27228">
        <w:rPr>
          <w:rFonts w:ascii="Arial" w:hAnsi="Arial" w:cs="Arial"/>
          <w:color w:val="000000"/>
          <w:sz w:val="22"/>
          <w:szCs w:val="22"/>
          <w:highlight w:val="yellow"/>
        </w:rPr>
        <w:t>le operazioni di indebitamento sono effettuate solo contestualmente all'adozione di piani di ammortamento di durata non superiore alla vita utile dell'investimento, nei quali sono evidenziate l'incidenza delle obbligazioni assunte sui singoli esercizi finanziari futuri nonché le modalità di copertura degli oneri corrispondenti;</w:t>
      </w:r>
    </w:p>
    <w:p w:rsidR="001811EC" w:rsidRPr="00C27228" w:rsidRDefault="002121F5">
      <w:pPr>
        <w:pStyle w:val="Paragrafoelenco"/>
        <w:numPr>
          <w:ilvl w:val="0"/>
          <w:numId w:val="18"/>
        </w:numPr>
        <w:spacing w:before="100" w:beforeAutospacing="1" w:after="100" w:afterAutospacing="1"/>
        <w:jc w:val="both"/>
        <w:rPr>
          <w:rFonts w:ascii="Arial" w:hAnsi="Arial" w:cs="Arial"/>
          <w:color w:val="000000"/>
          <w:sz w:val="22"/>
          <w:szCs w:val="22"/>
          <w:highlight w:val="yellow"/>
        </w:rPr>
      </w:pPr>
      <w:r w:rsidRPr="00C27228">
        <w:rPr>
          <w:rFonts w:ascii="Arial" w:hAnsi="Arial" w:cs="Arial"/>
          <w:color w:val="000000"/>
          <w:sz w:val="22"/>
          <w:szCs w:val="22"/>
          <w:highlight w:val="yellow"/>
        </w:rPr>
        <w:t>le operazioni di indebitamento e le operazioni di investimento realizzate attraverso l'utilizzo dei risultati di amministrazione degli esercizi precedenti sono effettuate sulla base di apposite intese concluse in ambito regionale che garantiscano, per l'anno di riferimento, il rispetto del saldo di cui all'articolo 9, comma 1, del complesso degli enti territoriali della regione interessata, compresa la medesima regione. </w:t>
      </w:r>
    </w:p>
    <w:p w:rsidR="001811EC" w:rsidRDefault="001811EC">
      <w:pPr>
        <w:widowControl w:val="0"/>
        <w:autoSpaceDE w:val="0"/>
        <w:autoSpaceDN w:val="0"/>
        <w:adjustRightInd w:val="0"/>
        <w:jc w:val="both"/>
        <w:rPr>
          <w:rFonts w:ascii="Arial" w:hAnsi="Arial" w:cs="Arial"/>
          <w:sz w:val="22"/>
          <w:szCs w:val="22"/>
        </w:rPr>
      </w:pPr>
    </w:p>
    <w:p w:rsidR="001811EC" w:rsidRDefault="001811EC">
      <w:pPr>
        <w:widowControl w:val="0"/>
        <w:autoSpaceDE w:val="0"/>
        <w:autoSpaceDN w:val="0"/>
        <w:adjustRightInd w:val="0"/>
        <w:jc w:val="both"/>
        <w:rPr>
          <w:rFonts w:ascii="Arial" w:hAnsi="Arial" w:cs="Arial"/>
          <w:sz w:val="22"/>
          <w:szCs w:val="22"/>
        </w:rPr>
      </w:pPr>
    </w:p>
    <w:p w:rsidR="001811EC" w:rsidRDefault="002121F5">
      <w:pPr>
        <w:tabs>
          <w:tab w:val="left" w:pos="4820"/>
        </w:tabs>
        <w:rPr>
          <w:rFonts w:ascii="Arial" w:hAnsi="Arial" w:cs="Arial"/>
        </w:rPr>
      </w:pPr>
      <w:r>
        <w:rPr>
          <w:rFonts w:ascii="Arial" w:hAnsi="Arial" w:cs="Arial"/>
        </w:rPr>
        <w:br w:type="page"/>
      </w:r>
    </w:p>
    <w:p w:rsidR="001811EC" w:rsidRDefault="002121F5">
      <w:pPr>
        <w:pStyle w:val="Titolo1"/>
        <w:shd w:val="clear" w:color="auto" w:fill="B6DDE8" w:themeFill="accent5" w:themeFillTint="66"/>
        <w:rPr>
          <w:sz w:val="32"/>
          <w:szCs w:val="32"/>
        </w:rPr>
      </w:pPr>
      <w:bookmarkStart w:id="105" w:name="_Toc408988076"/>
      <w:bookmarkStart w:id="106" w:name="_Toc469216221"/>
      <w:r>
        <w:rPr>
          <w:sz w:val="32"/>
          <w:szCs w:val="32"/>
        </w:rPr>
        <w:lastRenderedPageBreak/>
        <w:t>OSSERVAZIONI E SUGGERIMENTI</w:t>
      </w:r>
      <w:bookmarkEnd w:id="105"/>
      <w:bookmarkEnd w:id="106"/>
    </w:p>
    <w:p w:rsidR="001811EC" w:rsidRDefault="001811EC">
      <w:pPr>
        <w:tabs>
          <w:tab w:val="left" w:pos="4820"/>
        </w:tabs>
        <w:rPr>
          <w:rFonts w:ascii="Arial" w:hAnsi="Arial" w:cs="Arial"/>
        </w:rPr>
      </w:pPr>
    </w:p>
    <w:p w:rsidR="001811EC" w:rsidRDefault="002121F5">
      <w:pPr>
        <w:tabs>
          <w:tab w:val="left" w:pos="4820"/>
        </w:tabs>
        <w:jc w:val="both"/>
        <w:rPr>
          <w:rFonts w:ascii="Arial" w:hAnsi="Arial" w:cs="Arial"/>
          <w:sz w:val="22"/>
          <w:szCs w:val="22"/>
        </w:rPr>
      </w:pPr>
      <w:r>
        <w:rPr>
          <w:rFonts w:ascii="Arial" w:hAnsi="Arial" w:cs="Arial"/>
          <w:b/>
          <w:sz w:val="20"/>
          <w:szCs w:val="20"/>
        </w:rPr>
        <w:t xml:space="preserve"> </w:t>
      </w:r>
      <w:r>
        <w:rPr>
          <w:rFonts w:ascii="Arial" w:hAnsi="Arial" w:cs="Arial"/>
          <w:sz w:val="22"/>
          <w:szCs w:val="22"/>
        </w:rPr>
        <w:t>L’organo di revisione a conclusione delle verifiche esposte nei punti precedenti considera:</w:t>
      </w:r>
    </w:p>
    <w:p w:rsidR="001811EC" w:rsidRDefault="001811EC">
      <w:pPr>
        <w:tabs>
          <w:tab w:val="left" w:pos="4820"/>
        </w:tabs>
        <w:jc w:val="both"/>
        <w:rPr>
          <w:rFonts w:ascii="Arial" w:hAnsi="Arial" w:cs="Arial"/>
          <w:sz w:val="20"/>
        </w:rPr>
      </w:pPr>
    </w:p>
    <w:p w:rsidR="001811EC" w:rsidRDefault="002121F5">
      <w:pPr>
        <w:tabs>
          <w:tab w:val="left" w:pos="4820"/>
        </w:tabs>
        <w:jc w:val="both"/>
        <w:rPr>
          <w:rFonts w:ascii="Arial" w:hAnsi="Arial" w:cs="Arial"/>
          <w:b/>
          <w:sz w:val="22"/>
          <w:szCs w:val="22"/>
        </w:rPr>
      </w:pPr>
      <w:r>
        <w:rPr>
          <w:rFonts w:ascii="Arial" w:hAnsi="Arial" w:cs="Arial"/>
          <w:b/>
          <w:sz w:val="22"/>
          <w:szCs w:val="22"/>
        </w:rPr>
        <w:t>a)</w:t>
      </w:r>
      <w:r>
        <w:rPr>
          <w:rFonts w:ascii="Arial" w:hAnsi="Arial" w:cs="Arial"/>
          <w:sz w:val="22"/>
          <w:szCs w:val="22"/>
        </w:rPr>
        <w:t xml:space="preserve"> </w:t>
      </w:r>
      <w:r>
        <w:rPr>
          <w:rFonts w:ascii="Arial" w:hAnsi="Arial" w:cs="Arial"/>
          <w:b/>
          <w:sz w:val="22"/>
          <w:szCs w:val="22"/>
        </w:rPr>
        <w:t xml:space="preserve">Riguardo alle previsioni di parte corrente </w:t>
      </w:r>
    </w:p>
    <w:p w:rsidR="001811EC" w:rsidRDefault="001811EC">
      <w:pPr>
        <w:tabs>
          <w:tab w:val="left" w:pos="4820"/>
        </w:tabs>
        <w:spacing w:line="80" w:lineRule="exact"/>
        <w:jc w:val="both"/>
        <w:rPr>
          <w:rFonts w:ascii="Arial" w:hAnsi="Arial" w:cs="Arial"/>
          <w:sz w:val="22"/>
          <w:szCs w:val="22"/>
        </w:rPr>
      </w:pPr>
    </w:p>
    <w:p w:rsidR="001811EC" w:rsidRDefault="002121F5">
      <w:pPr>
        <w:tabs>
          <w:tab w:val="left" w:pos="4820"/>
        </w:tabs>
        <w:jc w:val="both"/>
        <w:rPr>
          <w:rFonts w:ascii="Arial" w:hAnsi="Arial" w:cs="Arial"/>
          <w:sz w:val="22"/>
          <w:szCs w:val="22"/>
        </w:rPr>
      </w:pPr>
      <w:r>
        <w:rPr>
          <w:rFonts w:ascii="Arial" w:hAnsi="Arial" w:cs="Arial"/>
          <w:sz w:val="22"/>
          <w:szCs w:val="22"/>
        </w:rPr>
        <w:t xml:space="preserve">1) Congrue le previsioni di spesa ed attendibili le entrate previste sulla base:  </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delle risultanze del rendiconto 2015 (</w:t>
      </w:r>
      <w:r>
        <w:rPr>
          <w:rFonts w:ascii="Arial" w:hAnsi="Arial" w:cs="Arial"/>
          <w:color w:val="0000FF"/>
          <w:sz w:val="22"/>
          <w:szCs w:val="22"/>
        </w:rPr>
        <w:t>o previsioni definitive 2016</w:t>
      </w:r>
      <w:r>
        <w:rPr>
          <w:rFonts w:ascii="Arial" w:hAnsi="Arial" w:cs="Arial"/>
          <w:sz w:val="22"/>
          <w:szCs w:val="22"/>
        </w:rPr>
        <w:t xml:space="preserve">);      </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della salvaguardia degli equilibri effettuata ai sensi dell'</w:t>
      </w:r>
      <w:hyperlink r:id="rId225" w:history="1">
        <w:r>
          <w:rPr>
            <w:rStyle w:val="Collegamentoipertestuale"/>
            <w:rFonts w:ascii="Arial" w:hAnsi="Arial" w:cs="Arial"/>
            <w:sz w:val="22"/>
            <w:szCs w:val="22"/>
          </w:rPr>
          <w:t>art. 193 del TUEL</w:t>
        </w:r>
      </w:hyperlink>
      <w:r>
        <w:rPr>
          <w:rFonts w:ascii="Arial" w:hAnsi="Arial" w:cs="Arial"/>
          <w:sz w:val="22"/>
          <w:szCs w:val="22"/>
        </w:rPr>
        <w:t>;</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 xml:space="preserve">del bilancio delle aziende speciali, consorzi, istituzioni e società partecipate; </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 xml:space="preserve">della valutazione del gettito effettivamente accertabile per i diversi cespiti d’entrata; </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dei riflessi delle decisioni già prese e di quelle da effettuare descritte nel DUP;</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degli oneri indotti delle spese in conto capitale;</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degli oneri derivanti dalle assunzioni di prestiti.</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degli effetti derivanti da spese disposte da leggi, contratti ed atti che obbligano giuridicamente l’ente;</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degli effetti derivanti dalla manovra finanziaria che l’ente ha attuato sulle entrate e sulle spese;</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dei vincoli sulle spese e riduzioni dei trasferimenti erariali;</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dei vincoli disposti per il rispetto del saldo obiettivo di finanza pubblica e delle norme relative al concorso degli enti locali alla realizzazione degli obiettivi di finanza pubblica;</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della quantificazione del fondo crediti di dubbia esigibilità;</w:t>
      </w:r>
    </w:p>
    <w:p w:rsidR="001811EC" w:rsidRDefault="002121F5">
      <w:pPr>
        <w:pStyle w:val="Paragrafoelenco"/>
        <w:numPr>
          <w:ilvl w:val="0"/>
          <w:numId w:val="19"/>
        </w:numPr>
        <w:jc w:val="both"/>
        <w:rPr>
          <w:rFonts w:ascii="Arial" w:hAnsi="Arial" w:cs="Arial"/>
          <w:sz w:val="22"/>
          <w:szCs w:val="22"/>
        </w:rPr>
      </w:pPr>
      <w:r>
        <w:rPr>
          <w:rFonts w:ascii="Arial" w:hAnsi="Arial" w:cs="Arial"/>
          <w:sz w:val="22"/>
          <w:szCs w:val="22"/>
        </w:rPr>
        <w:t>delle quantificazione degli accantonamenti per passività potenziali;</w:t>
      </w:r>
    </w:p>
    <w:p w:rsidR="001811EC" w:rsidRDefault="002121F5">
      <w:pPr>
        <w:pStyle w:val="Paragrafoelenco"/>
        <w:numPr>
          <w:ilvl w:val="0"/>
          <w:numId w:val="19"/>
        </w:numPr>
        <w:jc w:val="both"/>
        <w:rPr>
          <w:rFonts w:ascii="Arial" w:hAnsi="Arial" w:cs="Arial"/>
          <w:color w:val="0000FF"/>
          <w:sz w:val="20"/>
          <w:szCs w:val="20"/>
        </w:rPr>
      </w:pPr>
      <w:r>
        <w:rPr>
          <w:rFonts w:ascii="Arial" w:hAnsi="Arial" w:cs="Arial"/>
          <w:sz w:val="22"/>
          <w:szCs w:val="22"/>
        </w:rPr>
        <w:t>dei seguenti elementi</w:t>
      </w:r>
      <w:r>
        <w:rPr>
          <w:rFonts w:ascii="Arial" w:hAnsi="Arial" w:cs="Arial"/>
          <w:sz w:val="20"/>
        </w:rPr>
        <w:t xml:space="preserve"> </w:t>
      </w:r>
      <w:r>
        <w:rPr>
          <w:rFonts w:ascii="Arial" w:hAnsi="Arial" w:cs="Arial"/>
          <w:color w:val="0000FF"/>
          <w:sz w:val="20"/>
          <w:szCs w:val="20"/>
        </w:rPr>
        <w:t>(indicati nella nota integrativa o rilevati dall’organo di revisione nel suo operato):</w:t>
      </w:r>
    </w:p>
    <w:p w:rsidR="001811EC" w:rsidRDefault="002121F5">
      <w:pPr>
        <w:jc w:val="both"/>
        <w:rPr>
          <w:rFonts w:ascii="Arial" w:hAnsi="Arial" w:cs="Arial"/>
          <w:color w:val="0000FF"/>
          <w:sz w:val="20"/>
        </w:rPr>
      </w:pPr>
      <w:r>
        <w:rPr>
          <w:rFonts w:ascii="Arial" w:hAnsi="Arial" w:cs="Arial"/>
          <w:color w:val="0000FF"/>
          <w:sz w:val="20"/>
        </w:rPr>
        <w:t xml:space="preserve">             </w:t>
      </w:r>
    </w:p>
    <w:p w:rsidR="001811EC" w:rsidRDefault="001811EC">
      <w:pPr>
        <w:tabs>
          <w:tab w:val="left" w:pos="4820"/>
        </w:tabs>
        <w:spacing w:line="80" w:lineRule="exact"/>
        <w:rPr>
          <w:rFonts w:ascii="Arial" w:hAnsi="Arial" w:cs="Arial"/>
          <w:sz w:val="20"/>
        </w:rPr>
      </w:pPr>
    </w:p>
    <w:p w:rsidR="001811EC" w:rsidRDefault="002121F5">
      <w:pPr>
        <w:pBdr>
          <w:top w:val="outset" w:sz="6" w:space="1" w:color="auto"/>
          <w:left w:val="outset" w:sz="6" w:space="4" w:color="auto"/>
          <w:bottom w:val="inset" w:sz="6" w:space="1" w:color="auto"/>
          <w:right w:val="inset" w:sz="6" w:space="4" w:color="auto"/>
        </w:pBdr>
        <w:jc w:val="center"/>
        <w:rPr>
          <w:rFonts w:ascii="Arial" w:hAnsi="Arial" w:cs="Arial"/>
          <w:color w:val="0000FF"/>
          <w:sz w:val="20"/>
          <w:szCs w:val="18"/>
        </w:rPr>
      </w:pPr>
      <w:r>
        <w:rPr>
          <w:rFonts w:ascii="Arial" w:hAnsi="Arial" w:cs="Arial"/>
          <w:b/>
          <w:i/>
          <w:color w:val="0000FF"/>
          <w:sz w:val="20"/>
          <w:szCs w:val="18"/>
        </w:rPr>
        <w:t>(oppure)</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sz w:val="20"/>
          <w:szCs w:val="18"/>
        </w:rPr>
      </w:pPr>
      <w:r>
        <w:rPr>
          <w:rFonts w:ascii="Arial" w:hAnsi="Arial" w:cs="Arial"/>
          <w:color w:val="0000FF"/>
          <w:sz w:val="20"/>
          <w:szCs w:val="18"/>
        </w:rPr>
        <w:t>1.bis)</w:t>
      </w:r>
      <w:r>
        <w:rPr>
          <w:rFonts w:ascii="Arial" w:hAnsi="Arial" w:cs="Arial"/>
          <w:sz w:val="20"/>
          <w:szCs w:val="18"/>
        </w:rPr>
        <w:t xml:space="preserve"> Che le previsioni di entrata e spesa corrente, pur complessivamente attendibili e congrue, devono essere verificate relativamente alle seguenti voci, tenendo conto delle proposte e suggerimenti dell’organo di revisione, adottando immediato provvedimento di riequilibrio nel caso si rivelassero eccedenti o insufficienti per mantenere l'equilibrio economico-finanziario complessivo: </w:t>
      </w:r>
    </w:p>
    <w:p w:rsidR="001811EC" w:rsidRDefault="001811EC">
      <w:pPr>
        <w:pBdr>
          <w:top w:val="outset" w:sz="6" w:space="1" w:color="auto"/>
          <w:left w:val="outset" w:sz="6" w:space="4" w:color="auto"/>
          <w:bottom w:val="inset" w:sz="6" w:space="1" w:color="auto"/>
          <w:right w:val="inset" w:sz="6" w:space="4" w:color="auto"/>
        </w:pBdr>
        <w:tabs>
          <w:tab w:val="left" w:pos="4820"/>
        </w:tabs>
        <w:spacing w:line="80" w:lineRule="exact"/>
        <w:rPr>
          <w:rFonts w:ascii="Arial" w:hAnsi="Arial" w:cs="Arial"/>
          <w:sz w:val="20"/>
          <w:szCs w:val="18"/>
        </w:rPr>
      </w:pPr>
    </w:p>
    <w:p w:rsidR="001811EC" w:rsidRDefault="002121F5">
      <w:pPr>
        <w:pBdr>
          <w:top w:val="outset" w:sz="6" w:space="1" w:color="auto"/>
          <w:left w:val="outset" w:sz="6" w:space="4" w:color="auto"/>
          <w:bottom w:val="inset" w:sz="6" w:space="1" w:color="auto"/>
          <w:right w:val="inset" w:sz="6" w:space="4" w:color="auto"/>
        </w:pBdr>
        <w:rPr>
          <w:rFonts w:ascii="Arial" w:hAnsi="Arial" w:cs="Arial"/>
          <w:sz w:val="20"/>
          <w:szCs w:val="18"/>
        </w:rPr>
      </w:pPr>
      <w:r>
        <w:rPr>
          <w:rFonts w:ascii="Arial" w:hAnsi="Arial" w:cs="Arial"/>
          <w:sz w:val="20"/>
          <w:szCs w:val="18"/>
        </w:rPr>
        <w:t>entrate </w:t>
      </w:r>
      <w:r>
        <w:rPr>
          <w:rFonts w:ascii="Arial" w:hAnsi="Arial" w:cs="Arial"/>
          <w:sz w:val="20"/>
          <w:szCs w:val="18"/>
        </w:rPr>
        <w:tab/>
      </w:r>
      <w:r>
        <w:rPr>
          <w:rFonts w:ascii="Arial" w:hAnsi="Arial" w:cs="Arial"/>
          <w:sz w:val="20"/>
          <w:szCs w:val="18"/>
        </w:rPr>
        <w:tab/>
        <w:t xml:space="preserve">             spese </w:t>
      </w:r>
    </w:p>
    <w:p w:rsidR="001811EC" w:rsidRDefault="002121F5">
      <w:pPr>
        <w:pBdr>
          <w:top w:val="outset" w:sz="6" w:space="1" w:color="auto"/>
          <w:left w:val="outset" w:sz="6" w:space="4" w:color="auto"/>
          <w:bottom w:val="inset" w:sz="6" w:space="1" w:color="auto"/>
          <w:right w:val="inset" w:sz="6" w:space="4" w:color="auto"/>
        </w:pBdr>
        <w:rPr>
          <w:rFonts w:ascii="Arial" w:hAnsi="Arial" w:cs="Arial"/>
          <w:sz w:val="20"/>
          <w:szCs w:val="18"/>
        </w:rPr>
      </w:pPr>
      <w:r>
        <w:rPr>
          <w:rFonts w:ascii="Arial" w:hAnsi="Arial" w:cs="Arial"/>
          <w:sz w:val="20"/>
          <w:szCs w:val="18"/>
        </w:rPr>
        <w:t>....................</w:t>
      </w:r>
      <w:r>
        <w:rPr>
          <w:rFonts w:ascii="Arial" w:hAnsi="Arial" w:cs="Arial"/>
          <w:sz w:val="20"/>
          <w:szCs w:val="18"/>
        </w:rPr>
        <w:tab/>
      </w:r>
      <w:r>
        <w:rPr>
          <w:rFonts w:ascii="Arial" w:hAnsi="Arial" w:cs="Arial"/>
          <w:sz w:val="20"/>
          <w:szCs w:val="18"/>
        </w:rPr>
        <w:tab/>
        <w:t>.................</w:t>
      </w:r>
    </w:p>
    <w:p w:rsidR="001811EC" w:rsidRDefault="001811EC">
      <w:pPr>
        <w:tabs>
          <w:tab w:val="left" w:pos="4820"/>
        </w:tabs>
        <w:jc w:val="both"/>
        <w:rPr>
          <w:rFonts w:ascii="Arial" w:hAnsi="Arial" w:cs="Arial"/>
          <w:i/>
          <w:sz w:val="16"/>
        </w:rPr>
      </w:pPr>
    </w:p>
    <w:p w:rsidR="001811EC" w:rsidRDefault="002121F5">
      <w:pPr>
        <w:tabs>
          <w:tab w:val="left" w:pos="4820"/>
        </w:tabs>
        <w:jc w:val="both"/>
        <w:rPr>
          <w:rFonts w:ascii="Arial" w:hAnsi="Arial" w:cs="Arial"/>
          <w:color w:val="0000FF"/>
        </w:rPr>
      </w:pPr>
      <w:r>
        <w:rPr>
          <w:rFonts w:ascii="Arial" w:hAnsi="Arial" w:cs="Arial"/>
          <w:color w:val="0070C0"/>
          <w:sz w:val="20"/>
        </w:rPr>
        <w:t>(</w:t>
      </w:r>
      <w:r>
        <w:rPr>
          <w:rFonts w:ascii="Arial" w:hAnsi="Arial" w:cs="Arial"/>
          <w:color w:val="0000FF"/>
          <w:sz w:val="20"/>
        </w:rPr>
        <w:t xml:space="preserve">N.B. Proporre il termine del 30/6/2017, per la verifica delle entrate eventuali e indicare quali spese sono autorizzate a condizione. Esempi di entrate eventuali potrebbero essere: gettito arretrato di tributi aboliti, entrate per recupero evasione tributaria, IMU, TASI e TARI, fondo di </w:t>
      </w:r>
      <w:proofErr w:type="spellStart"/>
      <w:r>
        <w:rPr>
          <w:rFonts w:ascii="Arial" w:hAnsi="Arial" w:cs="Arial"/>
          <w:color w:val="0000FF"/>
          <w:sz w:val="20"/>
        </w:rPr>
        <w:t>solidarietà,trasferimenti</w:t>
      </w:r>
      <w:proofErr w:type="spellEnd"/>
      <w:r>
        <w:rPr>
          <w:rFonts w:ascii="Arial" w:hAnsi="Arial" w:cs="Arial"/>
          <w:color w:val="0000FF"/>
          <w:sz w:val="20"/>
        </w:rPr>
        <w:t xml:space="preserve"> di enti o privati, contributo per rilascio permesso di costruire, sanzioni per contravvenzione al codice della strada, dividendi da società partecipate</w:t>
      </w:r>
      <w:r>
        <w:rPr>
          <w:rFonts w:ascii="Arial" w:hAnsi="Arial" w:cs="Arial"/>
          <w:color w:val="0000FF"/>
          <w:sz w:val="20"/>
          <w:u w:val="single"/>
        </w:rPr>
        <w:t>)</w:t>
      </w:r>
    </w:p>
    <w:p w:rsidR="001811EC" w:rsidRDefault="001811EC">
      <w:pPr>
        <w:tabs>
          <w:tab w:val="left" w:pos="4820"/>
        </w:tabs>
        <w:spacing w:line="80" w:lineRule="exact"/>
        <w:rPr>
          <w:rFonts w:ascii="Arial" w:hAnsi="Arial" w:cs="Arial"/>
          <w:color w:val="0000FF"/>
          <w:sz w:val="20"/>
        </w:rPr>
      </w:pPr>
    </w:p>
    <w:p w:rsidR="001811EC" w:rsidRDefault="002121F5">
      <w:pPr>
        <w:pBdr>
          <w:top w:val="outset" w:sz="6" w:space="1" w:color="auto"/>
          <w:left w:val="outset" w:sz="6" w:space="4" w:color="auto"/>
          <w:bottom w:val="inset" w:sz="6" w:space="1" w:color="auto"/>
          <w:right w:val="inset" w:sz="6" w:space="4" w:color="auto"/>
        </w:pBdr>
        <w:jc w:val="center"/>
        <w:rPr>
          <w:rFonts w:ascii="Arial" w:hAnsi="Arial" w:cs="Arial"/>
          <w:color w:val="0000FF"/>
          <w:sz w:val="20"/>
          <w:szCs w:val="18"/>
        </w:rPr>
      </w:pPr>
      <w:r>
        <w:rPr>
          <w:rFonts w:ascii="Arial" w:hAnsi="Arial" w:cs="Arial"/>
          <w:color w:val="0000FF"/>
          <w:sz w:val="20"/>
          <w:szCs w:val="18"/>
        </w:rPr>
        <w:t>(oppure):</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sz w:val="20"/>
          <w:szCs w:val="18"/>
        </w:rPr>
      </w:pPr>
      <w:r>
        <w:rPr>
          <w:rFonts w:ascii="Arial" w:hAnsi="Arial" w:cs="Arial"/>
          <w:sz w:val="20"/>
          <w:szCs w:val="18"/>
        </w:rPr>
        <w:t>1.ter) Che la congruità e l'attendibilità delle seguenti previsioni non è fondata su provvedimenti che consentono di ritenere attendibile l’entrata, mentre la spesa prevista non appare congrua tenendo conto:</w:t>
      </w:r>
    </w:p>
    <w:p w:rsidR="001811EC" w:rsidRDefault="002121F5">
      <w:pPr>
        <w:numPr>
          <w:ilvl w:val="0"/>
          <w:numId w:val="5"/>
        </w:numPr>
        <w:pBdr>
          <w:top w:val="outset" w:sz="6" w:space="1" w:color="auto"/>
          <w:left w:val="outset" w:sz="6" w:space="4" w:color="auto"/>
          <w:bottom w:val="inset" w:sz="6" w:space="1" w:color="auto"/>
          <w:right w:val="inset" w:sz="6" w:space="4" w:color="auto"/>
        </w:pBdr>
        <w:jc w:val="both"/>
        <w:rPr>
          <w:rFonts w:ascii="Arial" w:hAnsi="Arial" w:cs="Arial"/>
          <w:sz w:val="20"/>
          <w:szCs w:val="18"/>
        </w:rPr>
      </w:pPr>
      <w:r>
        <w:rPr>
          <w:rFonts w:ascii="Arial" w:hAnsi="Arial" w:cs="Arial"/>
          <w:sz w:val="20"/>
          <w:szCs w:val="18"/>
        </w:rPr>
        <w:t>delle obbligazioni assunte e da assumere in relazione agli obiettivi stabiliti negli atti di programmazione dell’ente;</w:t>
      </w:r>
    </w:p>
    <w:p w:rsidR="001811EC" w:rsidRDefault="002121F5">
      <w:pPr>
        <w:numPr>
          <w:ilvl w:val="0"/>
          <w:numId w:val="5"/>
        </w:numPr>
        <w:pBdr>
          <w:top w:val="outset" w:sz="6" w:space="1" w:color="auto"/>
          <w:left w:val="outset" w:sz="6" w:space="4" w:color="auto"/>
          <w:bottom w:val="inset" w:sz="6" w:space="1" w:color="auto"/>
          <w:right w:val="inset" w:sz="6" w:space="4" w:color="auto"/>
        </w:pBdr>
        <w:jc w:val="both"/>
        <w:rPr>
          <w:rFonts w:ascii="Arial" w:hAnsi="Arial" w:cs="Arial"/>
          <w:sz w:val="20"/>
          <w:szCs w:val="18"/>
        </w:rPr>
      </w:pPr>
      <w:r>
        <w:rPr>
          <w:rFonts w:ascii="Arial" w:hAnsi="Arial" w:cs="Arial"/>
          <w:sz w:val="20"/>
          <w:szCs w:val="18"/>
        </w:rPr>
        <w:t>ai vincoli di finanza pubblica;</w:t>
      </w:r>
    </w:p>
    <w:p w:rsidR="001811EC" w:rsidRDefault="002121F5">
      <w:pPr>
        <w:numPr>
          <w:ilvl w:val="0"/>
          <w:numId w:val="5"/>
        </w:numPr>
        <w:pBdr>
          <w:top w:val="outset" w:sz="6" w:space="1" w:color="auto"/>
          <w:left w:val="outset" w:sz="6" w:space="4" w:color="auto"/>
          <w:bottom w:val="inset" w:sz="6" w:space="1" w:color="auto"/>
          <w:right w:val="inset" w:sz="6" w:space="4" w:color="auto"/>
        </w:pBdr>
        <w:jc w:val="both"/>
        <w:rPr>
          <w:rFonts w:ascii="Arial" w:hAnsi="Arial" w:cs="Arial"/>
          <w:sz w:val="20"/>
          <w:szCs w:val="18"/>
        </w:rPr>
      </w:pPr>
      <w:r>
        <w:rPr>
          <w:rFonts w:ascii="Arial" w:hAnsi="Arial" w:cs="Arial"/>
          <w:sz w:val="20"/>
          <w:szCs w:val="18"/>
        </w:rPr>
        <w:t>alla necessità di finanziare o ricapitalizzare i seguenti organismi partecipati …….;</w:t>
      </w:r>
    </w:p>
    <w:p w:rsidR="001811EC" w:rsidRDefault="002121F5">
      <w:pPr>
        <w:numPr>
          <w:ilvl w:val="0"/>
          <w:numId w:val="5"/>
        </w:numPr>
        <w:pBdr>
          <w:top w:val="outset" w:sz="6" w:space="1" w:color="auto"/>
          <w:left w:val="outset" w:sz="6" w:space="4" w:color="auto"/>
          <w:bottom w:val="inset" w:sz="6" w:space="1" w:color="auto"/>
          <w:right w:val="inset" w:sz="6" w:space="4" w:color="auto"/>
        </w:pBdr>
        <w:jc w:val="both"/>
        <w:rPr>
          <w:rFonts w:ascii="Arial" w:hAnsi="Arial" w:cs="Arial"/>
          <w:sz w:val="20"/>
          <w:szCs w:val="18"/>
        </w:rPr>
      </w:pPr>
      <w:r>
        <w:rPr>
          <w:rFonts w:ascii="Arial" w:hAnsi="Arial" w:cs="Arial"/>
          <w:sz w:val="20"/>
          <w:szCs w:val="18"/>
        </w:rPr>
        <w:t>alla necessità di aumentare il fondo crediti di dubbia esigibilità  in relazione all’andamento storico degli accertamenti inesigibili;</w:t>
      </w:r>
    </w:p>
    <w:p w:rsidR="001811EC" w:rsidRDefault="002121F5">
      <w:pPr>
        <w:numPr>
          <w:ilvl w:val="0"/>
          <w:numId w:val="5"/>
        </w:numPr>
        <w:pBdr>
          <w:top w:val="outset" w:sz="6" w:space="1" w:color="auto"/>
          <w:left w:val="outset" w:sz="6" w:space="4" w:color="auto"/>
          <w:bottom w:val="inset" w:sz="6" w:space="1" w:color="auto"/>
          <w:right w:val="inset" w:sz="6" w:space="4" w:color="auto"/>
        </w:pBdr>
        <w:jc w:val="both"/>
        <w:rPr>
          <w:rFonts w:ascii="Arial" w:hAnsi="Arial" w:cs="Arial"/>
          <w:sz w:val="20"/>
          <w:szCs w:val="18"/>
        </w:rPr>
      </w:pPr>
      <w:r>
        <w:rPr>
          <w:rFonts w:ascii="Arial" w:hAnsi="Arial" w:cs="Arial"/>
          <w:sz w:val="20"/>
          <w:szCs w:val="18"/>
        </w:rPr>
        <w:t>alla necessità di finanziare debiti fuori bilancio o passività potenziali probabili.</w:t>
      </w:r>
    </w:p>
    <w:p w:rsidR="001811EC" w:rsidRDefault="002121F5">
      <w:pPr>
        <w:pBdr>
          <w:top w:val="outset" w:sz="6" w:space="1" w:color="auto"/>
          <w:left w:val="outset" w:sz="6" w:space="4" w:color="auto"/>
          <w:bottom w:val="inset" w:sz="6" w:space="1" w:color="auto"/>
          <w:right w:val="inset" w:sz="6" w:space="4" w:color="auto"/>
        </w:pBdr>
        <w:spacing w:before="120"/>
        <w:jc w:val="both"/>
        <w:rPr>
          <w:rFonts w:ascii="Arial" w:hAnsi="Arial" w:cs="Arial"/>
          <w:sz w:val="20"/>
          <w:szCs w:val="18"/>
        </w:rPr>
      </w:pPr>
      <w:r>
        <w:rPr>
          <w:rFonts w:ascii="Arial" w:hAnsi="Arial" w:cs="Arial"/>
          <w:sz w:val="20"/>
          <w:szCs w:val="18"/>
        </w:rPr>
        <w:t xml:space="preserve">per cui si invita il Consiglio a adottare le misure correttive o i provvedimenti di seguito indicati:  </w:t>
      </w:r>
    </w:p>
    <w:p w:rsidR="001811EC" w:rsidRDefault="001811EC">
      <w:pPr>
        <w:pBdr>
          <w:top w:val="outset" w:sz="6" w:space="1" w:color="auto"/>
          <w:left w:val="outset" w:sz="6" w:space="4" w:color="auto"/>
          <w:bottom w:val="inset" w:sz="6" w:space="1" w:color="auto"/>
          <w:right w:val="inset" w:sz="6" w:space="4" w:color="auto"/>
        </w:pBdr>
        <w:tabs>
          <w:tab w:val="left" w:pos="4820"/>
        </w:tabs>
        <w:spacing w:line="80" w:lineRule="exact"/>
        <w:rPr>
          <w:rFonts w:ascii="Arial" w:hAnsi="Arial" w:cs="Arial"/>
          <w:sz w:val="20"/>
          <w:szCs w:val="18"/>
        </w:rPr>
      </w:pPr>
    </w:p>
    <w:p w:rsidR="001811EC" w:rsidRDefault="002121F5">
      <w:pPr>
        <w:pBdr>
          <w:top w:val="outset" w:sz="6" w:space="1" w:color="auto"/>
          <w:left w:val="outset" w:sz="6" w:space="4" w:color="auto"/>
          <w:bottom w:val="inset" w:sz="6" w:space="1" w:color="auto"/>
          <w:right w:val="inset" w:sz="6" w:space="4" w:color="auto"/>
        </w:pBdr>
        <w:rPr>
          <w:rFonts w:ascii="Arial" w:hAnsi="Arial" w:cs="Arial"/>
          <w:sz w:val="20"/>
          <w:szCs w:val="18"/>
        </w:rPr>
      </w:pPr>
      <w:r>
        <w:rPr>
          <w:rFonts w:ascii="Arial" w:hAnsi="Arial" w:cs="Arial"/>
          <w:sz w:val="20"/>
          <w:szCs w:val="18"/>
        </w:rPr>
        <w:t>entrate inattendibili</w:t>
      </w:r>
      <w:r>
        <w:rPr>
          <w:rFonts w:ascii="Arial" w:hAnsi="Arial" w:cs="Arial"/>
          <w:sz w:val="20"/>
          <w:szCs w:val="18"/>
        </w:rPr>
        <w:tab/>
      </w:r>
      <w:r>
        <w:rPr>
          <w:rFonts w:ascii="Arial" w:hAnsi="Arial" w:cs="Arial"/>
          <w:sz w:val="20"/>
          <w:szCs w:val="18"/>
        </w:rPr>
        <w:tab/>
        <w:t>spese non congrue</w:t>
      </w:r>
    </w:p>
    <w:p w:rsidR="001811EC" w:rsidRDefault="002121F5">
      <w:pPr>
        <w:pBdr>
          <w:top w:val="outset" w:sz="6" w:space="1" w:color="auto"/>
          <w:left w:val="outset" w:sz="6" w:space="4" w:color="auto"/>
          <w:bottom w:val="inset" w:sz="6" w:space="1" w:color="auto"/>
          <w:right w:val="inset" w:sz="6" w:space="4" w:color="auto"/>
        </w:pBdr>
        <w:rPr>
          <w:rFonts w:ascii="Arial" w:hAnsi="Arial" w:cs="Arial"/>
          <w:sz w:val="20"/>
          <w:szCs w:val="18"/>
        </w:rPr>
      </w:pPr>
      <w:r>
        <w:rPr>
          <w:rFonts w:ascii="Arial" w:hAnsi="Arial" w:cs="Arial"/>
          <w:sz w:val="20"/>
          <w:szCs w:val="18"/>
        </w:rPr>
        <w:t>...........................</w:t>
      </w:r>
      <w:r>
        <w:rPr>
          <w:rFonts w:ascii="Arial" w:hAnsi="Arial" w:cs="Arial"/>
          <w:sz w:val="20"/>
          <w:szCs w:val="18"/>
        </w:rPr>
        <w:tab/>
      </w:r>
      <w:r>
        <w:rPr>
          <w:rFonts w:ascii="Arial" w:hAnsi="Arial" w:cs="Arial"/>
          <w:sz w:val="20"/>
          <w:szCs w:val="18"/>
        </w:rPr>
        <w:tab/>
        <w:t>..........................</w:t>
      </w:r>
    </w:p>
    <w:p w:rsidR="001811EC" w:rsidRDefault="001811EC">
      <w:pPr>
        <w:pBdr>
          <w:top w:val="outset" w:sz="6" w:space="1" w:color="auto"/>
          <w:left w:val="outset" w:sz="6" w:space="4" w:color="auto"/>
          <w:bottom w:val="inset" w:sz="6" w:space="1" w:color="auto"/>
          <w:right w:val="inset" w:sz="6" w:space="4" w:color="auto"/>
        </w:pBdr>
        <w:tabs>
          <w:tab w:val="left" w:pos="4820"/>
        </w:tabs>
        <w:spacing w:line="80" w:lineRule="exact"/>
        <w:rPr>
          <w:rFonts w:ascii="Arial" w:hAnsi="Arial" w:cs="Arial"/>
          <w:sz w:val="20"/>
          <w:szCs w:val="18"/>
        </w:rPr>
      </w:pPr>
    </w:p>
    <w:p w:rsidR="001811EC" w:rsidRDefault="001811EC">
      <w:pPr>
        <w:tabs>
          <w:tab w:val="left" w:pos="4820"/>
        </w:tabs>
        <w:spacing w:line="80" w:lineRule="exact"/>
        <w:rPr>
          <w:rFonts w:ascii="Arial" w:hAnsi="Arial" w:cs="Arial"/>
          <w:sz w:val="20"/>
        </w:rPr>
      </w:pPr>
    </w:p>
    <w:p w:rsidR="001811EC" w:rsidRDefault="002121F5">
      <w:pPr>
        <w:tabs>
          <w:tab w:val="left" w:pos="4820"/>
        </w:tabs>
        <w:jc w:val="both"/>
        <w:rPr>
          <w:rFonts w:ascii="Arial" w:hAnsi="Arial" w:cs="Arial"/>
          <w:color w:val="0000FF"/>
          <w:sz w:val="20"/>
        </w:rPr>
      </w:pPr>
      <w:r>
        <w:rPr>
          <w:rFonts w:ascii="Arial" w:hAnsi="Arial" w:cs="Arial"/>
          <w:color w:val="0000FF"/>
          <w:sz w:val="20"/>
        </w:rPr>
        <w:lastRenderedPageBreak/>
        <w:t>(N.B. Suggerire le modalità tecniche e le misure da adottarsi con urgenza, per assicurare gli equilibri previsioni o gestionali, quali ad esempio :</w:t>
      </w:r>
    </w:p>
    <w:p w:rsidR="001811EC" w:rsidRDefault="002121F5">
      <w:pPr>
        <w:numPr>
          <w:ilvl w:val="0"/>
          <w:numId w:val="5"/>
        </w:numPr>
        <w:tabs>
          <w:tab w:val="left" w:pos="4820"/>
        </w:tabs>
        <w:spacing w:before="120"/>
        <w:ind w:left="357" w:hanging="357"/>
        <w:jc w:val="both"/>
        <w:rPr>
          <w:rFonts w:ascii="Arial" w:hAnsi="Arial" w:cs="Arial"/>
          <w:color w:val="0000FF"/>
          <w:sz w:val="20"/>
        </w:rPr>
      </w:pPr>
      <w:r>
        <w:rPr>
          <w:rFonts w:ascii="Arial" w:hAnsi="Arial" w:cs="Arial"/>
          <w:color w:val="0000FF"/>
          <w:sz w:val="20"/>
        </w:rPr>
        <w:t>per le entrate, atti deliberativi di determinazione aliquote, tariffe, canoni ecc., atti d’indirizzo per azioni di recupero di gettito e comunque da riportare a ragionevole certezza la previsione;</w:t>
      </w:r>
    </w:p>
    <w:p w:rsidR="001811EC" w:rsidRDefault="002121F5">
      <w:pPr>
        <w:numPr>
          <w:ilvl w:val="0"/>
          <w:numId w:val="7"/>
        </w:numPr>
        <w:tabs>
          <w:tab w:val="left" w:pos="4820"/>
        </w:tabs>
        <w:spacing w:before="120"/>
        <w:ind w:left="357" w:hanging="357"/>
        <w:jc w:val="both"/>
        <w:rPr>
          <w:rFonts w:ascii="Arial" w:hAnsi="Arial" w:cs="Arial"/>
          <w:color w:val="0000FF"/>
          <w:sz w:val="20"/>
        </w:rPr>
      </w:pPr>
      <w:r>
        <w:rPr>
          <w:rFonts w:ascii="Arial" w:hAnsi="Arial" w:cs="Arial"/>
          <w:color w:val="0000FF"/>
          <w:sz w:val="20"/>
        </w:rPr>
        <w:t xml:space="preserve"> per le spese: a) adeguamento delle previsioni dei fattori produttivi consolidati ed assolutamente necessari per assicurare il funzionamento dei servizi gestiti, quali oneri per il personale derivanti da modifiche normative e contrattuali, spese derivanti da disposizioni di legge, oneri finanziari, ammortamenti, accantonamenti, manutenzioni e riparazioni non rinviabili, per finanziamento o ricapitalizzazione di organismi partecipati; b) riduzione delle previsioni di spesa per fattori produttivi non strettamente necessari oppure rinviabili ad esercizi successivi; c) esternalizzazione di funzioni o servizi pubblici.)</w:t>
      </w:r>
    </w:p>
    <w:p w:rsidR="001811EC" w:rsidRDefault="001811EC">
      <w:pPr>
        <w:tabs>
          <w:tab w:val="left" w:pos="4820"/>
        </w:tabs>
        <w:rPr>
          <w:rFonts w:ascii="Arial" w:hAnsi="Arial" w:cs="Arial"/>
          <w:color w:val="0000FF"/>
          <w:sz w:val="20"/>
        </w:rPr>
      </w:pPr>
    </w:p>
    <w:p w:rsidR="001811EC" w:rsidRDefault="002121F5">
      <w:pPr>
        <w:rPr>
          <w:rFonts w:ascii="Arial" w:hAnsi="Arial" w:cs="Arial"/>
          <w:b/>
          <w:sz w:val="22"/>
          <w:szCs w:val="22"/>
        </w:rPr>
      </w:pPr>
      <w:r>
        <w:rPr>
          <w:rFonts w:ascii="Arial" w:hAnsi="Arial" w:cs="Arial"/>
          <w:b/>
          <w:sz w:val="22"/>
          <w:szCs w:val="22"/>
        </w:rPr>
        <w:t>b) Riguardo alle previsioni per investimenti</w:t>
      </w:r>
    </w:p>
    <w:p w:rsidR="001811EC" w:rsidRDefault="001811EC">
      <w:pPr>
        <w:tabs>
          <w:tab w:val="left" w:pos="4820"/>
        </w:tabs>
        <w:spacing w:line="80" w:lineRule="exact"/>
        <w:rPr>
          <w:rFonts w:ascii="Arial" w:hAnsi="Arial" w:cs="Arial"/>
          <w:sz w:val="22"/>
          <w:szCs w:val="22"/>
        </w:rPr>
      </w:pPr>
    </w:p>
    <w:p w:rsidR="001811EC" w:rsidRDefault="002121F5">
      <w:pPr>
        <w:jc w:val="both"/>
        <w:rPr>
          <w:rFonts w:ascii="Arial" w:hAnsi="Arial" w:cs="Arial"/>
          <w:sz w:val="22"/>
          <w:szCs w:val="22"/>
        </w:rPr>
      </w:pPr>
      <w:r>
        <w:rPr>
          <w:rFonts w:ascii="Arial" w:hAnsi="Arial" w:cs="Arial"/>
          <w:sz w:val="22"/>
          <w:szCs w:val="22"/>
        </w:rPr>
        <w:t>Conforme la previsione dei mezzi di copertura finanziaria e delle spese per investimenti, all’elenco annuale degli interventi ed al programma triennale dei lavori pubblici, allegati al bilancio.</w:t>
      </w:r>
    </w:p>
    <w:p w:rsidR="001811EC" w:rsidRDefault="002121F5">
      <w:pPr>
        <w:jc w:val="both"/>
        <w:rPr>
          <w:rFonts w:ascii="Arial" w:hAnsi="Arial" w:cs="Arial"/>
          <w:sz w:val="22"/>
          <w:szCs w:val="22"/>
        </w:rPr>
      </w:pPr>
      <w:r>
        <w:rPr>
          <w:rFonts w:ascii="Arial" w:hAnsi="Arial" w:cs="Arial"/>
          <w:sz w:val="22"/>
          <w:szCs w:val="22"/>
        </w:rPr>
        <w:t>Coerente la previsione di spesa per investimenti con il programma amministrativo, il DUP, il piano triennale dei lavori pubblici e il crono programma dei pagamenti, ritenendo che la realizzazione degli interventi previsti sarà possibile a condizione che siano concretamente reperiti, in particolare i seguenti finanziamenti:…………………………</w:t>
      </w:r>
    </w:p>
    <w:p w:rsidR="001811EC" w:rsidRDefault="001811EC">
      <w:pPr>
        <w:rPr>
          <w:rFonts w:ascii="Arial" w:hAnsi="Arial" w:cs="Arial"/>
          <w:sz w:val="20"/>
        </w:rPr>
      </w:pPr>
    </w:p>
    <w:p w:rsidR="001811EC" w:rsidRDefault="002121F5">
      <w:pPr>
        <w:pStyle w:val="Paragrafoelenco"/>
        <w:numPr>
          <w:ilvl w:val="0"/>
          <w:numId w:val="12"/>
        </w:numPr>
        <w:rPr>
          <w:rFonts w:ascii="Arial" w:hAnsi="Arial" w:cs="Arial"/>
          <w:b/>
          <w:sz w:val="22"/>
          <w:szCs w:val="22"/>
        </w:rPr>
      </w:pPr>
      <w:r>
        <w:rPr>
          <w:rFonts w:ascii="Arial" w:hAnsi="Arial" w:cs="Arial"/>
          <w:b/>
          <w:sz w:val="22"/>
          <w:szCs w:val="22"/>
        </w:rPr>
        <w:t xml:space="preserve">Riguardo agli obiettivi di finanza pubblica </w:t>
      </w:r>
    </w:p>
    <w:p w:rsidR="001811EC" w:rsidRDefault="002121F5">
      <w:pPr>
        <w:rPr>
          <w:rFonts w:ascii="Arial" w:hAnsi="Arial" w:cs="Arial"/>
          <w:sz w:val="22"/>
          <w:szCs w:val="22"/>
        </w:rPr>
      </w:pPr>
      <w:r>
        <w:rPr>
          <w:rFonts w:ascii="Arial" w:hAnsi="Arial" w:cs="Arial"/>
          <w:sz w:val="22"/>
          <w:szCs w:val="22"/>
        </w:rPr>
        <w:t>Con le previsioni contenute nello schema di bilancio, l’ente può conseguire negli anni 2017, 2018 e 2019, gli obiettivi di finanza pubblica.</w:t>
      </w:r>
    </w:p>
    <w:p w:rsidR="001811EC" w:rsidRDefault="001811EC">
      <w:pPr>
        <w:rPr>
          <w:rFonts w:ascii="Arial" w:hAnsi="Arial" w:cs="Arial"/>
          <w:sz w:val="22"/>
          <w:szCs w:val="22"/>
        </w:rPr>
      </w:pPr>
    </w:p>
    <w:p w:rsidR="001811EC" w:rsidRDefault="001811EC">
      <w:pPr>
        <w:rPr>
          <w:rFonts w:ascii="Arial" w:hAnsi="Arial" w:cs="Arial"/>
          <w:sz w:val="22"/>
          <w:szCs w:val="22"/>
        </w:rPr>
      </w:pPr>
    </w:p>
    <w:p w:rsidR="001811EC" w:rsidRDefault="002121F5">
      <w:pPr>
        <w:pBdr>
          <w:top w:val="outset" w:sz="6" w:space="1" w:color="auto"/>
          <w:left w:val="outset" w:sz="6" w:space="4" w:color="auto"/>
          <w:bottom w:val="inset" w:sz="6" w:space="1" w:color="auto"/>
          <w:right w:val="inset" w:sz="6" w:space="4" w:color="auto"/>
        </w:pBdr>
        <w:jc w:val="center"/>
        <w:rPr>
          <w:rFonts w:ascii="Arial" w:hAnsi="Arial" w:cs="Arial"/>
          <w:i/>
          <w:color w:val="0000FF"/>
          <w:sz w:val="20"/>
          <w:szCs w:val="18"/>
        </w:rPr>
      </w:pPr>
      <w:r>
        <w:rPr>
          <w:rFonts w:ascii="Arial" w:hAnsi="Arial" w:cs="Arial"/>
          <w:b/>
          <w:i/>
          <w:color w:val="0000FF"/>
          <w:sz w:val="20"/>
          <w:szCs w:val="18"/>
        </w:rPr>
        <w:t>(oppure)</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i/>
          <w:sz w:val="20"/>
          <w:szCs w:val="18"/>
        </w:rPr>
      </w:pPr>
      <w:r>
        <w:rPr>
          <w:rFonts w:ascii="Arial" w:hAnsi="Arial" w:cs="Arial"/>
          <w:i/>
          <w:sz w:val="20"/>
          <w:szCs w:val="18"/>
        </w:rPr>
        <w:t xml:space="preserve">L’Organo di revisione nel rilevare che dal prospetto allegato al bilancio non risultano conseguibili gli obiettivi del rispetto del saldo finanziario (pareggio di bilancio) per gli anni </w:t>
      </w:r>
      <w:r>
        <w:rPr>
          <w:rFonts w:ascii="Arial" w:hAnsi="Arial" w:cs="Arial"/>
          <w:i/>
          <w:sz w:val="20"/>
          <w:szCs w:val="18"/>
          <w:u w:val="single"/>
        </w:rPr>
        <w:t>………… invita l’Ente</w:t>
      </w:r>
      <w:r>
        <w:rPr>
          <w:rFonts w:ascii="Arial" w:hAnsi="Arial" w:cs="Arial"/>
          <w:i/>
          <w:sz w:val="20"/>
          <w:szCs w:val="18"/>
        </w:rPr>
        <w:t xml:space="preserve"> a riformulare le previsioni di competenza per le entrate e spese finali.</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i/>
          <w:sz w:val="20"/>
          <w:szCs w:val="18"/>
        </w:rPr>
      </w:pPr>
      <w:r>
        <w:rPr>
          <w:rFonts w:ascii="Arial" w:hAnsi="Arial" w:cs="Arial"/>
          <w:i/>
          <w:sz w:val="20"/>
          <w:szCs w:val="18"/>
        </w:rPr>
        <w:t xml:space="preserve">L’organo di revisione nel rilevare che nel bilancio per l’esercizio …….. le previsioni sono state elaborate senza tenere conto degli effetti sanzionatori che deriveranno per il prospettato mancato rispetto del saldo obiettivo di finanza pubblica per l’anno 2016 in particolare per le limitazioni imposte alle spese </w:t>
      </w:r>
      <w:r>
        <w:rPr>
          <w:rFonts w:ascii="Arial" w:hAnsi="Arial" w:cs="Arial"/>
          <w:i/>
          <w:sz w:val="20"/>
          <w:szCs w:val="18"/>
          <w:u w:val="single"/>
        </w:rPr>
        <w:t>………… invita l’Ente</w:t>
      </w:r>
      <w:r>
        <w:rPr>
          <w:rFonts w:ascii="Arial" w:hAnsi="Arial" w:cs="Arial"/>
          <w:i/>
          <w:sz w:val="20"/>
          <w:szCs w:val="18"/>
        </w:rPr>
        <w:t xml:space="preserve"> a riformulare le previsioni per gli anni ……………………….</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b/>
          <w:i/>
          <w:sz w:val="20"/>
          <w:szCs w:val="18"/>
        </w:rPr>
      </w:pPr>
      <w:r>
        <w:rPr>
          <w:rFonts w:ascii="Arial" w:hAnsi="Arial" w:cs="Arial"/>
          <w:i/>
          <w:color w:val="0000FF"/>
          <w:sz w:val="20"/>
          <w:szCs w:val="18"/>
        </w:rPr>
        <w:t>(</w:t>
      </w:r>
      <w:r>
        <w:rPr>
          <w:rFonts w:ascii="Arial" w:hAnsi="Arial" w:cs="Arial"/>
          <w:b/>
          <w:i/>
          <w:color w:val="0000FF"/>
          <w:sz w:val="20"/>
          <w:szCs w:val="18"/>
        </w:rPr>
        <w:t>Oppure ancora</w:t>
      </w:r>
      <w:r>
        <w:rPr>
          <w:rFonts w:ascii="Arial" w:hAnsi="Arial" w:cs="Arial"/>
          <w:i/>
          <w:sz w:val="20"/>
          <w:szCs w:val="18"/>
        </w:rPr>
        <w:t xml:space="preserve"> nel caso di raggiungimento “artificioso” del risultato del saldo obiettivo:</w:t>
      </w:r>
      <w:r>
        <w:rPr>
          <w:rFonts w:ascii="Arial" w:hAnsi="Arial" w:cs="Arial"/>
          <w:b/>
          <w:i/>
          <w:sz w:val="20"/>
          <w:szCs w:val="18"/>
        </w:rPr>
        <w:t xml:space="preserve"> </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i/>
          <w:sz w:val="20"/>
          <w:szCs w:val="18"/>
        </w:rPr>
      </w:pPr>
      <w:r>
        <w:rPr>
          <w:rFonts w:ascii="Arial" w:hAnsi="Arial" w:cs="Arial"/>
          <w:i/>
          <w:sz w:val="20"/>
          <w:szCs w:val="18"/>
        </w:rPr>
        <w:t>L’Organo di revisione, sebbene il prospetto dimostrativo delle previsioni di competenza delle entrate finali e spese finali allegato al bilancio, dimostri che sia conseguibile l’obiettivo programmato, ritiene che esso sia stato “artificiosamente” raggiunto in quanto si basa su:</w:t>
      </w:r>
    </w:p>
    <w:p w:rsidR="001811EC" w:rsidRDefault="002121F5">
      <w:pPr>
        <w:pStyle w:val="Paragrafoelenco"/>
        <w:numPr>
          <w:ilvl w:val="0"/>
          <w:numId w:val="7"/>
        </w:numPr>
        <w:pBdr>
          <w:top w:val="outset" w:sz="6" w:space="1" w:color="auto"/>
          <w:left w:val="outset" w:sz="6" w:space="4" w:color="auto"/>
          <w:bottom w:val="inset" w:sz="6" w:space="1" w:color="auto"/>
          <w:right w:val="inset" w:sz="6" w:space="4" w:color="auto"/>
        </w:pBdr>
        <w:jc w:val="both"/>
        <w:rPr>
          <w:rFonts w:ascii="Arial" w:hAnsi="Arial" w:cs="Arial"/>
          <w:i/>
          <w:sz w:val="20"/>
          <w:szCs w:val="18"/>
        </w:rPr>
      </w:pPr>
      <w:r>
        <w:rPr>
          <w:rFonts w:ascii="Arial" w:hAnsi="Arial" w:cs="Arial"/>
          <w:i/>
          <w:sz w:val="20"/>
          <w:szCs w:val="18"/>
        </w:rPr>
        <w:t>una non corretta applicazione dei principi contabili;</w:t>
      </w:r>
    </w:p>
    <w:p w:rsidR="001811EC" w:rsidRDefault="002121F5">
      <w:pPr>
        <w:pStyle w:val="Paragrafoelenco"/>
        <w:numPr>
          <w:ilvl w:val="0"/>
          <w:numId w:val="7"/>
        </w:numPr>
        <w:pBdr>
          <w:top w:val="outset" w:sz="6" w:space="1" w:color="auto"/>
          <w:left w:val="outset" w:sz="6" w:space="4" w:color="auto"/>
          <w:bottom w:val="inset" w:sz="6" w:space="1" w:color="auto"/>
          <w:right w:val="inset" w:sz="6" w:space="4" w:color="auto"/>
        </w:pBdr>
        <w:jc w:val="both"/>
        <w:rPr>
          <w:rFonts w:ascii="Arial" w:hAnsi="Arial" w:cs="Arial"/>
          <w:i/>
          <w:sz w:val="20"/>
          <w:szCs w:val="18"/>
        </w:rPr>
      </w:pPr>
      <w:r>
        <w:rPr>
          <w:rFonts w:ascii="Arial" w:hAnsi="Arial" w:cs="Arial"/>
          <w:i/>
          <w:sz w:val="20"/>
          <w:szCs w:val="18"/>
        </w:rPr>
        <w:t>previsioni di entrata “dubbie” che non sembrano essere fondate su elementi certi ed attendibili (es. lotta evasione, proventi per concessioni di servizi a terzi, plusvalenze da alienazioni di beni patrimoniali, cessioni di partecipazioni, di aziende o rami d’azienda);</w:t>
      </w:r>
    </w:p>
    <w:p w:rsidR="001811EC" w:rsidRDefault="002121F5">
      <w:pPr>
        <w:pStyle w:val="Paragrafoelenco"/>
        <w:numPr>
          <w:ilvl w:val="0"/>
          <w:numId w:val="7"/>
        </w:numPr>
        <w:pBdr>
          <w:top w:val="outset" w:sz="6" w:space="1" w:color="auto"/>
          <w:left w:val="outset" w:sz="6" w:space="4" w:color="auto"/>
          <w:bottom w:val="inset" w:sz="6" w:space="1" w:color="auto"/>
          <w:right w:val="inset" w:sz="6" w:space="4" w:color="auto"/>
        </w:pBdr>
        <w:jc w:val="both"/>
        <w:rPr>
          <w:rFonts w:ascii="Arial" w:hAnsi="Arial" w:cs="Arial"/>
          <w:i/>
          <w:sz w:val="20"/>
          <w:szCs w:val="18"/>
        </w:rPr>
      </w:pPr>
      <w:r>
        <w:rPr>
          <w:rFonts w:ascii="Arial" w:hAnsi="Arial" w:cs="Arial"/>
          <w:i/>
          <w:sz w:val="20"/>
          <w:szCs w:val="18"/>
        </w:rPr>
        <w:t>previsioni di riscossioni “dubbie” che non sembrano essere fondate su elementi certi ed attendibili (es. concessioni edilizie, proventi immobiliari, ecc.);</w:t>
      </w:r>
    </w:p>
    <w:p w:rsidR="001811EC" w:rsidRDefault="002121F5">
      <w:pPr>
        <w:pStyle w:val="Paragrafoelenco"/>
        <w:numPr>
          <w:ilvl w:val="0"/>
          <w:numId w:val="7"/>
        </w:numPr>
        <w:pBdr>
          <w:top w:val="outset" w:sz="6" w:space="1" w:color="auto"/>
          <w:left w:val="outset" w:sz="6" w:space="4" w:color="auto"/>
          <w:bottom w:val="inset" w:sz="6" w:space="1" w:color="auto"/>
          <w:right w:val="inset" w:sz="6" w:space="4" w:color="auto"/>
        </w:pBdr>
        <w:jc w:val="both"/>
        <w:rPr>
          <w:rFonts w:ascii="Arial" w:hAnsi="Arial" w:cs="Arial"/>
          <w:i/>
          <w:sz w:val="20"/>
          <w:szCs w:val="18"/>
        </w:rPr>
      </w:pPr>
      <w:r>
        <w:rPr>
          <w:rFonts w:ascii="Arial" w:hAnsi="Arial" w:cs="Arial"/>
          <w:i/>
          <w:sz w:val="20"/>
          <w:szCs w:val="18"/>
        </w:rPr>
        <w:t>non corretta imputazione delle entrate o delle spese (es. utilizzo partite di giro per poste ordinarie di bilancio);</w:t>
      </w:r>
    </w:p>
    <w:p w:rsidR="001811EC" w:rsidRDefault="002121F5">
      <w:pPr>
        <w:pStyle w:val="Paragrafoelenco"/>
        <w:numPr>
          <w:ilvl w:val="0"/>
          <w:numId w:val="7"/>
        </w:numPr>
        <w:pBdr>
          <w:top w:val="outset" w:sz="6" w:space="1" w:color="auto"/>
          <w:left w:val="outset" w:sz="6" w:space="4" w:color="auto"/>
          <w:bottom w:val="inset" w:sz="6" w:space="1" w:color="auto"/>
          <w:right w:val="inset" w:sz="6" w:space="4" w:color="auto"/>
        </w:pBdr>
        <w:jc w:val="both"/>
        <w:rPr>
          <w:rFonts w:ascii="Arial" w:hAnsi="Arial" w:cs="Arial"/>
          <w:i/>
          <w:sz w:val="20"/>
          <w:szCs w:val="18"/>
        </w:rPr>
      </w:pPr>
      <w:r>
        <w:rPr>
          <w:rFonts w:ascii="Arial" w:hAnsi="Arial" w:cs="Arial"/>
          <w:i/>
          <w:sz w:val="20"/>
          <w:szCs w:val="18"/>
        </w:rPr>
        <w:t>l’ assenza di previsioni di spesa (es. trasferimenti per “contratti di servizio”);</w:t>
      </w:r>
    </w:p>
    <w:p w:rsidR="001811EC" w:rsidRDefault="002121F5">
      <w:pPr>
        <w:pStyle w:val="Paragrafoelenco"/>
        <w:numPr>
          <w:ilvl w:val="0"/>
          <w:numId w:val="7"/>
        </w:numPr>
        <w:pBdr>
          <w:top w:val="outset" w:sz="6" w:space="1" w:color="auto"/>
          <w:left w:val="outset" w:sz="6" w:space="4" w:color="auto"/>
          <w:bottom w:val="inset" w:sz="6" w:space="1" w:color="auto"/>
          <w:right w:val="inset" w:sz="6" w:space="4" w:color="auto"/>
        </w:pBdr>
        <w:jc w:val="both"/>
        <w:rPr>
          <w:rFonts w:ascii="Arial" w:hAnsi="Arial" w:cs="Arial"/>
          <w:i/>
          <w:sz w:val="20"/>
          <w:szCs w:val="18"/>
        </w:rPr>
      </w:pPr>
      <w:r>
        <w:rPr>
          <w:rFonts w:ascii="Arial" w:hAnsi="Arial" w:cs="Arial"/>
          <w:i/>
          <w:sz w:val="20"/>
          <w:szCs w:val="18"/>
        </w:rPr>
        <w:t xml:space="preserve">l’ utilizzo di forme elusive (es. operazioni con organismi partecipati poste in essere al solo fine di eludere quali contratti di servizio, accollo debito, concessione di crediti, ripiani di perdite ed aumenti di capitale per effetto di mancati trasferimenti, </w:t>
      </w:r>
      <w:proofErr w:type="spellStart"/>
      <w:r>
        <w:rPr>
          <w:rFonts w:ascii="Arial" w:hAnsi="Arial" w:cs="Arial"/>
          <w:i/>
          <w:sz w:val="20"/>
          <w:szCs w:val="18"/>
        </w:rPr>
        <w:t>ecc</w:t>
      </w:r>
      <w:proofErr w:type="spellEnd"/>
      <w:r>
        <w:rPr>
          <w:rFonts w:ascii="Arial" w:hAnsi="Arial" w:cs="Arial"/>
          <w:i/>
          <w:sz w:val="20"/>
          <w:szCs w:val="18"/>
        </w:rPr>
        <w:t>);</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i/>
          <w:sz w:val="20"/>
          <w:szCs w:val="18"/>
        </w:rPr>
      </w:pPr>
      <w:r>
        <w:rPr>
          <w:rFonts w:ascii="Arial" w:hAnsi="Arial" w:cs="Arial"/>
          <w:i/>
          <w:sz w:val="20"/>
          <w:szCs w:val="18"/>
          <w:u w:val="single"/>
        </w:rPr>
        <w:t>invita l’ente</w:t>
      </w:r>
      <w:r>
        <w:rPr>
          <w:rFonts w:ascii="Arial" w:hAnsi="Arial" w:cs="Arial"/>
          <w:i/>
          <w:sz w:val="20"/>
          <w:szCs w:val="18"/>
        </w:rPr>
        <w:t xml:space="preserve"> a riformulare le previsioni di competenza per le entrate e spese finali.</w:t>
      </w:r>
    </w:p>
    <w:p w:rsidR="001811EC" w:rsidRDefault="001811EC">
      <w:pPr>
        <w:pBdr>
          <w:top w:val="outset" w:sz="6" w:space="1" w:color="auto"/>
          <w:left w:val="outset" w:sz="6" w:space="4" w:color="auto"/>
          <w:bottom w:val="inset" w:sz="6" w:space="1" w:color="auto"/>
          <w:right w:val="inset" w:sz="6" w:space="4" w:color="auto"/>
        </w:pBdr>
        <w:jc w:val="both"/>
        <w:rPr>
          <w:rFonts w:ascii="Arial" w:hAnsi="Arial" w:cs="Arial"/>
          <w:i/>
          <w:sz w:val="20"/>
          <w:szCs w:val="18"/>
        </w:rPr>
      </w:pPr>
    </w:p>
    <w:p w:rsidR="001811EC" w:rsidRDefault="001811EC">
      <w:pPr>
        <w:jc w:val="both"/>
        <w:rPr>
          <w:rFonts w:ascii="Arial" w:hAnsi="Arial" w:cs="Arial"/>
          <w:sz w:val="22"/>
          <w:szCs w:val="22"/>
        </w:rPr>
      </w:pPr>
    </w:p>
    <w:p w:rsidR="001811EC" w:rsidRDefault="002121F5">
      <w:pPr>
        <w:pStyle w:val="Paragrafoelenco"/>
        <w:numPr>
          <w:ilvl w:val="0"/>
          <w:numId w:val="12"/>
        </w:numPr>
        <w:jc w:val="both"/>
        <w:rPr>
          <w:rFonts w:ascii="Arial" w:hAnsi="Arial" w:cs="Arial"/>
          <w:b/>
          <w:sz w:val="22"/>
          <w:szCs w:val="22"/>
        </w:rPr>
      </w:pPr>
      <w:r>
        <w:rPr>
          <w:rFonts w:ascii="Arial" w:hAnsi="Arial" w:cs="Arial"/>
          <w:b/>
          <w:sz w:val="22"/>
          <w:szCs w:val="22"/>
        </w:rPr>
        <w:t>Riguardo alle previsioni di cassa</w:t>
      </w:r>
    </w:p>
    <w:p w:rsidR="001811EC" w:rsidRDefault="002121F5">
      <w:pPr>
        <w:jc w:val="both"/>
        <w:rPr>
          <w:rFonts w:ascii="Arial" w:hAnsi="Arial" w:cs="Arial"/>
          <w:sz w:val="22"/>
          <w:szCs w:val="22"/>
        </w:rPr>
      </w:pPr>
      <w:r>
        <w:rPr>
          <w:rFonts w:ascii="Arial" w:hAnsi="Arial" w:cs="Arial"/>
          <w:sz w:val="22"/>
          <w:szCs w:val="22"/>
        </w:rPr>
        <w:t>Le previsioni di cassa sono attendibili in relazione all’esigibilità dei residui attivi e delle entrate di competenza e congrue in relazione al rispetto dei termini di pagamento con riferimento ai cronoprogrammi e alle scadenze di legge.</w:t>
      </w:r>
    </w:p>
    <w:p w:rsidR="001811EC" w:rsidRDefault="001811EC">
      <w:pPr>
        <w:jc w:val="both"/>
        <w:rPr>
          <w:rFonts w:ascii="Arial" w:hAnsi="Arial" w:cs="Arial"/>
          <w:sz w:val="22"/>
          <w:szCs w:val="22"/>
        </w:rPr>
      </w:pPr>
    </w:p>
    <w:p w:rsidR="001811EC" w:rsidRDefault="002121F5">
      <w:pPr>
        <w:pBdr>
          <w:top w:val="single" w:sz="4" w:space="1" w:color="auto"/>
          <w:left w:val="single" w:sz="4" w:space="4" w:color="auto"/>
          <w:bottom w:val="single" w:sz="4" w:space="1" w:color="auto"/>
          <w:right w:val="single" w:sz="4" w:space="4" w:color="auto"/>
        </w:pBdr>
        <w:jc w:val="both"/>
        <w:rPr>
          <w:rFonts w:ascii="Arial" w:hAnsi="Arial" w:cs="Arial"/>
          <w:i/>
          <w:sz w:val="22"/>
          <w:szCs w:val="22"/>
        </w:rPr>
      </w:pPr>
      <w:r>
        <w:rPr>
          <w:rFonts w:ascii="Arial" w:hAnsi="Arial" w:cs="Arial"/>
          <w:i/>
          <w:sz w:val="20"/>
          <w:szCs w:val="20"/>
        </w:rPr>
        <w:lastRenderedPageBreak/>
        <w:t>Oppure: le previsioni di cassa dovranno essere verificate in sede di salvaguardia degli equilibri in particolare per i seguenti incassi e pagamenti</w:t>
      </w:r>
      <w:r>
        <w:rPr>
          <w:rFonts w:ascii="Arial" w:hAnsi="Arial" w:cs="Arial"/>
          <w:i/>
          <w:sz w:val="22"/>
          <w:szCs w:val="22"/>
        </w:rPr>
        <w:t>………………………….</w:t>
      </w:r>
    </w:p>
    <w:p w:rsidR="001811EC" w:rsidRDefault="001811EC">
      <w:pPr>
        <w:pStyle w:val="Paragrafoelenco"/>
        <w:ind w:left="360"/>
        <w:jc w:val="both"/>
        <w:rPr>
          <w:rFonts w:ascii="Arial" w:hAnsi="Arial" w:cs="Arial"/>
          <w:b/>
          <w:sz w:val="22"/>
          <w:szCs w:val="22"/>
        </w:rPr>
      </w:pPr>
    </w:p>
    <w:p w:rsidR="001811EC" w:rsidRPr="00C27228" w:rsidRDefault="002121F5">
      <w:pPr>
        <w:pStyle w:val="Paragrafoelenco"/>
        <w:numPr>
          <w:ilvl w:val="0"/>
          <w:numId w:val="12"/>
        </w:numPr>
        <w:jc w:val="both"/>
        <w:rPr>
          <w:rFonts w:ascii="Arial" w:hAnsi="Arial" w:cs="Arial"/>
          <w:b/>
          <w:sz w:val="22"/>
          <w:szCs w:val="22"/>
          <w:highlight w:val="yellow"/>
        </w:rPr>
      </w:pPr>
      <w:r w:rsidRPr="00C27228">
        <w:rPr>
          <w:rFonts w:ascii="Arial" w:hAnsi="Arial" w:cs="Arial"/>
          <w:b/>
          <w:sz w:val="22"/>
          <w:szCs w:val="22"/>
          <w:highlight w:val="yellow"/>
        </w:rPr>
        <w:t>Invio dati alla banca dati delle amministrazioni pubbliche</w:t>
      </w:r>
    </w:p>
    <w:p w:rsidR="001811EC" w:rsidRPr="00C27228" w:rsidRDefault="001811EC">
      <w:pPr>
        <w:pStyle w:val="Paragrafoelenco"/>
        <w:ind w:left="360"/>
        <w:jc w:val="both"/>
        <w:rPr>
          <w:rFonts w:ascii="Arial" w:hAnsi="Arial" w:cs="Arial"/>
          <w:b/>
          <w:sz w:val="22"/>
          <w:szCs w:val="22"/>
          <w:highlight w:val="yellow"/>
        </w:rPr>
      </w:pPr>
    </w:p>
    <w:p w:rsidR="001811EC" w:rsidRDefault="002121F5">
      <w:pPr>
        <w:jc w:val="both"/>
        <w:rPr>
          <w:rFonts w:ascii="Arial" w:hAnsi="Arial" w:cs="Arial"/>
          <w:color w:val="000000"/>
          <w:sz w:val="22"/>
          <w:szCs w:val="22"/>
        </w:rPr>
      </w:pPr>
      <w:r w:rsidRPr="00C27228">
        <w:rPr>
          <w:rFonts w:ascii="Arial" w:hAnsi="Arial" w:cs="Arial"/>
          <w:sz w:val="22"/>
          <w:szCs w:val="22"/>
          <w:highlight w:val="yellow"/>
        </w:rPr>
        <w:t xml:space="preserve">L’organo di revisione richiede il rispetto dei termini per l’invio </w:t>
      </w:r>
      <w:r w:rsidRPr="00C27228">
        <w:rPr>
          <w:rFonts w:ascii="Arial" w:hAnsi="Arial" w:cs="Arial"/>
          <w:color w:val="000000"/>
          <w:sz w:val="22"/>
          <w:szCs w:val="22"/>
          <w:highlight w:val="yellow"/>
        </w:rPr>
        <w:t>dei dati relativi al bilancio di previsione entro trenta giorni dalla sua approvazione alla banca dati delle amministrazioni pubbliche di cui all'</w:t>
      </w:r>
      <w:hyperlink r:id="rId226" w:history="1">
        <w:r w:rsidRPr="00C27228">
          <w:rPr>
            <w:rStyle w:val="Collegamentoipertestuale"/>
            <w:rFonts w:ascii="Arial" w:hAnsi="Arial" w:cs="Arial"/>
            <w:sz w:val="22"/>
            <w:szCs w:val="22"/>
            <w:highlight w:val="yellow"/>
          </w:rPr>
          <w:t>articolo 13 della Legge 31 dicembre 2009, n. 196</w:t>
        </w:r>
      </w:hyperlink>
      <w:r w:rsidRPr="00C27228">
        <w:rPr>
          <w:rFonts w:ascii="Arial" w:hAnsi="Arial" w:cs="Arial"/>
          <w:color w:val="000000"/>
          <w:sz w:val="22"/>
          <w:szCs w:val="22"/>
          <w:highlight w:val="yellow"/>
        </w:rPr>
        <w:t xml:space="preserve">, compresi i dati aggregati per voce del piano dei conti integrato, avvertendo che nel caso di mancato rispetto di tale termine, come disposto dal </w:t>
      </w:r>
      <w:hyperlink r:id="rId227" w:history="1">
        <w:r w:rsidRPr="00C27228">
          <w:rPr>
            <w:rStyle w:val="Collegamentoipertestuale"/>
            <w:rFonts w:ascii="Arial" w:hAnsi="Arial" w:cs="Arial"/>
            <w:sz w:val="22"/>
            <w:szCs w:val="22"/>
            <w:highlight w:val="yellow"/>
          </w:rPr>
          <w:t>comma 712 ter dell’art.1 della Legge 208/2015</w:t>
        </w:r>
      </w:hyperlink>
      <w:r w:rsidRPr="00C27228">
        <w:rPr>
          <w:rFonts w:ascii="Arial" w:hAnsi="Arial" w:cs="Arial"/>
          <w:color w:val="000000"/>
          <w:sz w:val="22"/>
          <w:szCs w:val="22"/>
          <w:highlight w:val="yellow"/>
        </w:rPr>
        <w:t xml:space="preserve"> non sarà possibile procedere ad assunzioni di personale a qualsiasi titolo, con qualsivoglia tipologia contrattuale, ivi compresi i rapporti di collaborazione coordinata e continuativa e di somministrazione, anche con riferimento ai processi di stabilizzazione in atto, fino a quando non si provvederà all’adempimento. E' fatto altresì divieto di stipulare contratti di servizio con soggetti privati che si configurino come elusivi della disposizione del precedente periodo.</w:t>
      </w:r>
      <w:r>
        <w:rPr>
          <w:rFonts w:ascii="Arial" w:hAnsi="Arial" w:cs="Arial"/>
          <w:color w:val="000000"/>
          <w:sz w:val="22"/>
          <w:szCs w:val="22"/>
        </w:rPr>
        <w:t> </w:t>
      </w:r>
    </w:p>
    <w:p w:rsidR="001811EC" w:rsidRDefault="001811EC" w:rsidP="00A608DA">
      <w:pPr>
        <w:jc w:val="both"/>
        <w:rPr>
          <w:rFonts w:ascii="Arial" w:hAnsi="Arial" w:cs="Arial"/>
          <w:color w:val="000000"/>
          <w:sz w:val="22"/>
          <w:szCs w:val="22"/>
        </w:rPr>
      </w:pPr>
    </w:p>
    <w:p w:rsidR="001811EC" w:rsidRPr="00A608DA" w:rsidRDefault="002121F5" w:rsidP="00A608DA">
      <w:pPr>
        <w:jc w:val="both"/>
        <w:rPr>
          <w:rFonts w:ascii="Arial" w:hAnsi="Arial" w:cs="Arial"/>
          <w:b/>
          <w:sz w:val="22"/>
          <w:szCs w:val="22"/>
        </w:rPr>
      </w:pPr>
      <w:r w:rsidRPr="00A608DA">
        <w:rPr>
          <w:rFonts w:ascii="Arial" w:hAnsi="Arial" w:cs="Arial"/>
          <w:b/>
        </w:rPr>
        <w:t xml:space="preserve">f) </w:t>
      </w:r>
      <w:r w:rsidRPr="00C27228">
        <w:rPr>
          <w:rFonts w:ascii="Arial" w:hAnsi="Arial" w:cs="Arial"/>
          <w:sz w:val="22"/>
          <w:szCs w:val="22"/>
          <w:highlight w:val="yellow"/>
        </w:rPr>
        <w:t>(Per i Comuni &lt; 5000 abitanti)</w:t>
      </w:r>
      <w:r w:rsidRPr="00A608DA">
        <w:rPr>
          <w:rFonts w:ascii="Arial" w:hAnsi="Arial" w:cs="Arial"/>
          <w:sz w:val="22"/>
          <w:szCs w:val="22"/>
        </w:rPr>
        <w:t xml:space="preserve"> </w:t>
      </w:r>
      <w:r w:rsidRPr="00A608DA">
        <w:rPr>
          <w:rFonts w:ascii="Arial" w:hAnsi="Arial" w:cs="Arial"/>
          <w:b/>
          <w:sz w:val="22"/>
          <w:szCs w:val="22"/>
        </w:rPr>
        <w:t xml:space="preserve">Adempimenti per il completamento dell’armonizzazione contabile  </w:t>
      </w:r>
    </w:p>
    <w:p w:rsidR="001811EC" w:rsidRPr="00A608DA" w:rsidRDefault="002121F5">
      <w:pPr>
        <w:jc w:val="both"/>
        <w:rPr>
          <w:rFonts w:ascii="Arial" w:hAnsi="Arial" w:cs="Arial"/>
          <w:sz w:val="22"/>
          <w:szCs w:val="22"/>
        </w:rPr>
      </w:pPr>
      <w:r w:rsidRPr="00A608DA">
        <w:rPr>
          <w:rFonts w:ascii="Arial" w:hAnsi="Arial" w:cs="Arial"/>
          <w:sz w:val="22"/>
          <w:szCs w:val="22"/>
        </w:rPr>
        <w:t>A decorrere dal 2017 l’ente è tenuto ad adottare un sistema di contabilità economico patrimoniale, garantendo la rilevazione unitaria dei fatti gestionali, sia sotto il profilo finanziario che sotto il profilo economico patrimoniale e dovrà pertanto avviare le attività necessarie per dare attuazione agli adempimenti dell’armonizzazione contabile, con particolare riferimento a:</w:t>
      </w:r>
    </w:p>
    <w:p w:rsidR="001811EC" w:rsidRPr="00A608DA" w:rsidRDefault="002121F5">
      <w:pPr>
        <w:pStyle w:val="Paragrafoelenco"/>
        <w:numPr>
          <w:ilvl w:val="0"/>
          <w:numId w:val="24"/>
        </w:numPr>
        <w:jc w:val="both"/>
        <w:rPr>
          <w:rFonts w:ascii="Arial" w:hAnsi="Arial" w:cs="Arial"/>
          <w:sz w:val="22"/>
          <w:szCs w:val="22"/>
        </w:rPr>
      </w:pPr>
      <w:r w:rsidRPr="00A608DA">
        <w:rPr>
          <w:rFonts w:ascii="Arial" w:hAnsi="Arial" w:cs="Arial"/>
          <w:sz w:val="22"/>
          <w:szCs w:val="22"/>
        </w:rPr>
        <w:t>l’aggiornamento delle procedure informatiche necessarie per la contabilità economico patrimoniale;</w:t>
      </w:r>
    </w:p>
    <w:p w:rsidR="001811EC" w:rsidRPr="00A608DA" w:rsidRDefault="002121F5">
      <w:pPr>
        <w:pStyle w:val="Paragrafoelenco"/>
        <w:numPr>
          <w:ilvl w:val="0"/>
          <w:numId w:val="24"/>
        </w:numPr>
        <w:jc w:val="both"/>
        <w:rPr>
          <w:rFonts w:ascii="Arial" w:hAnsi="Arial" w:cs="Arial"/>
          <w:sz w:val="22"/>
          <w:szCs w:val="22"/>
        </w:rPr>
      </w:pPr>
      <w:r w:rsidRPr="00A608DA">
        <w:rPr>
          <w:rFonts w:ascii="Arial" w:hAnsi="Arial" w:cs="Arial"/>
          <w:sz w:val="22"/>
          <w:szCs w:val="22"/>
        </w:rPr>
        <w:t xml:space="preserve">applicare il piano dei conti integrato di cui all’allegato n. 6 al </w:t>
      </w:r>
      <w:hyperlink r:id="rId228" w:history="1">
        <w:proofErr w:type="spellStart"/>
        <w:r w:rsidRPr="00A608DA">
          <w:rPr>
            <w:rStyle w:val="Collegamentoipertestuale"/>
            <w:rFonts w:ascii="Arial" w:hAnsi="Arial" w:cs="Arial"/>
            <w:sz w:val="22"/>
            <w:szCs w:val="22"/>
          </w:rPr>
          <w:t>D.Lgs.</w:t>
        </w:r>
        <w:proofErr w:type="spellEnd"/>
        <w:r w:rsidRPr="00A608DA">
          <w:rPr>
            <w:rStyle w:val="Collegamentoipertestuale"/>
            <w:rFonts w:ascii="Arial" w:hAnsi="Arial" w:cs="Arial"/>
            <w:sz w:val="22"/>
            <w:szCs w:val="22"/>
          </w:rPr>
          <w:t xml:space="preserve"> n. 118/2011</w:t>
        </w:r>
      </w:hyperlink>
      <w:r w:rsidRPr="00A608DA">
        <w:rPr>
          <w:rFonts w:ascii="Arial" w:hAnsi="Arial" w:cs="Arial"/>
          <w:sz w:val="22"/>
          <w:szCs w:val="22"/>
        </w:rPr>
        <w:t xml:space="preserve">; </w:t>
      </w:r>
    </w:p>
    <w:p w:rsidR="001811EC" w:rsidRPr="00A608DA" w:rsidRDefault="002121F5">
      <w:pPr>
        <w:pStyle w:val="Paragrafoelenco"/>
        <w:numPr>
          <w:ilvl w:val="0"/>
          <w:numId w:val="24"/>
        </w:numPr>
        <w:jc w:val="both"/>
        <w:rPr>
          <w:rFonts w:ascii="Arial" w:hAnsi="Arial" w:cs="Arial"/>
          <w:sz w:val="22"/>
          <w:szCs w:val="22"/>
        </w:rPr>
      </w:pPr>
      <w:r w:rsidRPr="00A608DA">
        <w:rPr>
          <w:rFonts w:ascii="Arial" w:hAnsi="Arial" w:cs="Arial"/>
          <w:sz w:val="22"/>
          <w:szCs w:val="22"/>
        </w:rPr>
        <w:t xml:space="preserve">applicare il </w:t>
      </w:r>
      <w:hyperlink r:id="rId229" w:history="1">
        <w:r w:rsidRPr="00A608DA">
          <w:rPr>
            <w:rStyle w:val="Collegamentoipertestuale"/>
            <w:rFonts w:ascii="Arial" w:hAnsi="Arial" w:cs="Arial"/>
            <w:sz w:val="22"/>
            <w:szCs w:val="22"/>
          </w:rPr>
          <w:t>principio contabile generale n. 17 della competenza economica</w:t>
        </w:r>
      </w:hyperlink>
      <w:r w:rsidRPr="00A608DA">
        <w:rPr>
          <w:rFonts w:ascii="Arial" w:hAnsi="Arial" w:cs="Arial"/>
          <w:sz w:val="22"/>
          <w:szCs w:val="22"/>
        </w:rPr>
        <w:t xml:space="preserve"> di cui all’allegato n. 1 al </w:t>
      </w:r>
      <w:hyperlink r:id="rId230" w:history="1">
        <w:proofErr w:type="spellStart"/>
        <w:r w:rsidRPr="00A608DA">
          <w:rPr>
            <w:rStyle w:val="Collegamentoipertestuale"/>
            <w:rFonts w:ascii="Arial" w:hAnsi="Arial" w:cs="Arial"/>
            <w:sz w:val="22"/>
            <w:szCs w:val="22"/>
          </w:rPr>
          <w:t>D.Lgs.</w:t>
        </w:r>
        <w:proofErr w:type="spellEnd"/>
        <w:r w:rsidRPr="00A608DA">
          <w:rPr>
            <w:rStyle w:val="Collegamentoipertestuale"/>
            <w:rFonts w:ascii="Arial" w:hAnsi="Arial" w:cs="Arial"/>
            <w:sz w:val="22"/>
            <w:szCs w:val="22"/>
          </w:rPr>
          <w:t xml:space="preserve"> n. 118/2011</w:t>
        </w:r>
      </w:hyperlink>
      <w:r w:rsidRPr="00A608DA">
        <w:rPr>
          <w:rFonts w:ascii="Arial" w:hAnsi="Arial" w:cs="Arial"/>
          <w:sz w:val="22"/>
          <w:szCs w:val="22"/>
        </w:rPr>
        <w:t xml:space="preserve">; </w:t>
      </w:r>
    </w:p>
    <w:p w:rsidR="001811EC" w:rsidRPr="00A608DA" w:rsidRDefault="002121F5">
      <w:pPr>
        <w:pStyle w:val="Paragrafoelenco"/>
        <w:numPr>
          <w:ilvl w:val="0"/>
          <w:numId w:val="24"/>
        </w:numPr>
        <w:jc w:val="both"/>
        <w:rPr>
          <w:rFonts w:ascii="Arial" w:hAnsi="Arial" w:cs="Arial"/>
          <w:sz w:val="22"/>
          <w:szCs w:val="22"/>
        </w:rPr>
      </w:pPr>
      <w:r w:rsidRPr="00A608DA">
        <w:rPr>
          <w:rFonts w:ascii="Arial" w:hAnsi="Arial" w:cs="Arial"/>
          <w:sz w:val="22"/>
          <w:szCs w:val="22"/>
        </w:rPr>
        <w:t xml:space="preserve">applicare il </w:t>
      </w:r>
      <w:hyperlink r:id="rId231" w:history="1">
        <w:r w:rsidRPr="00A608DA">
          <w:rPr>
            <w:rStyle w:val="Collegamentoipertestuale"/>
            <w:rFonts w:ascii="Arial" w:hAnsi="Arial" w:cs="Arial"/>
            <w:sz w:val="22"/>
            <w:szCs w:val="22"/>
          </w:rPr>
          <w:t>principio applicato della contabilità economico patrimoniale di cui all’allegato 4/3</w:t>
        </w:r>
      </w:hyperlink>
      <w:r w:rsidRPr="00A608DA">
        <w:rPr>
          <w:rFonts w:ascii="Arial" w:hAnsi="Arial" w:cs="Arial"/>
          <w:sz w:val="22"/>
          <w:szCs w:val="22"/>
        </w:rPr>
        <w:t xml:space="preserve"> al </w:t>
      </w:r>
      <w:hyperlink r:id="rId232" w:history="1">
        <w:proofErr w:type="spellStart"/>
        <w:r w:rsidRPr="00A608DA">
          <w:rPr>
            <w:rStyle w:val="Collegamentoipertestuale"/>
            <w:rFonts w:ascii="Arial" w:hAnsi="Arial" w:cs="Arial"/>
            <w:sz w:val="22"/>
            <w:szCs w:val="22"/>
          </w:rPr>
          <w:t>D.Lgs.</w:t>
        </w:r>
        <w:proofErr w:type="spellEnd"/>
        <w:r w:rsidRPr="00A608DA">
          <w:rPr>
            <w:rStyle w:val="Collegamentoipertestuale"/>
            <w:rFonts w:ascii="Arial" w:hAnsi="Arial" w:cs="Arial"/>
            <w:sz w:val="22"/>
            <w:szCs w:val="22"/>
          </w:rPr>
          <w:t xml:space="preserve"> n. 118/2011</w:t>
        </w:r>
      </w:hyperlink>
      <w:r w:rsidRPr="00A608DA">
        <w:rPr>
          <w:rFonts w:ascii="Arial" w:hAnsi="Arial" w:cs="Arial"/>
          <w:sz w:val="22"/>
          <w:szCs w:val="22"/>
        </w:rPr>
        <w:t>, con particolare riferimento al principio n. 9, concernente “L’avvio della contabilità economico patrimoniale armonizzata</w:t>
      </w:r>
    </w:p>
    <w:p w:rsidR="001811EC" w:rsidRPr="00A608DA" w:rsidRDefault="002121F5">
      <w:pPr>
        <w:pStyle w:val="Paragrafoelenco"/>
        <w:numPr>
          <w:ilvl w:val="0"/>
          <w:numId w:val="24"/>
        </w:numPr>
        <w:jc w:val="both"/>
        <w:rPr>
          <w:rFonts w:ascii="Arial" w:hAnsi="Arial" w:cs="Arial"/>
          <w:sz w:val="22"/>
          <w:szCs w:val="22"/>
        </w:rPr>
      </w:pPr>
      <w:r w:rsidRPr="00A608DA">
        <w:rPr>
          <w:rFonts w:ascii="Arial" w:hAnsi="Arial" w:cs="Arial"/>
          <w:sz w:val="22"/>
          <w:szCs w:val="22"/>
        </w:rPr>
        <w:t xml:space="preserve">aggiornare l’inventario e la sua codifica secondo il piano patrimoniale del piano dei conti integrato (allegato n. 6 al </w:t>
      </w:r>
      <w:hyperlink r:id="rId233" w:history="1">
        <w:proofErr w:type="spellStart"/>
        <w:r w:rsidRPr="00A608DA">
          <w:rPr>
            <w:rStyle w:val="Collegamentoipertestuale"/>
            <w:rFonts w:ascii="Arial" w:hAnsi="Arial" w:cs="Arial"/>
            <w:sz w:val="22"/>
            <w:szCs w:val="22"/>
          </w:rPr>
          <w:t>D</w:t>
        </w:r>
        <w:r w:rsidR="00641D2E" w:rsidRPr="00A608DA">
          <w:rPr>
            <w:rStyle w:val="Collegamentoipertestuale"/>
            <w:rFonts w:ascii="Arial" w:hAnsi="Arial" w:cs="Arial"/>
            <w:sz w:val="22"/>
            <w:szCs w:val="22"/>
          </w:rPr>
          <w:t>.</w:t>
        </w:r>
        <w:r w:rsidRPr="00A608DA">
          <w:rPr>
            <w:rStyle w:val="Collegamentoipertestuale"/>
            <w:rFonts w:ascii="Arial" w:hAnsi="Arial" w:cs="Arial"/>
            <w:sz w:val="22"/>
            <w:szCs w:val="22"/>
          </w:rPr>
          <w:t>Lgs</w:t>
        </w:r>
        <w:proofErr w:type="spellEnd"/>
        <w:r w:rsidRPr="00A608DA">
          <w:rPr>
            <w:rStyle w:val="Collegamentoipertestuale"/>
            <w:rFonts w:ascii="Arial" w:hAnsi="Arial" w:cs="Arial"/>
            <w:sz w:val="22"/>
            <w:szCs w:val="22"/>
          </w:rPr>
          <w:t xml:space="preserve"> 118/2011</w:t>
        </w:r>
      </w:hyperlink>
      <w:r w:rsidRPr="00A608DA">
        <w:rPr>
          <w:rFonts w:ascii="Arial" w:hAnsi="Arial" w:cs="Arial"/>
          <w:sz w:val="22"/>
          <w:szCs w:val="22"/>
        </w:rPr>
        <w:t>);</w:t>
      </w:r>
    </w:p>
    <w:p w:rsidR="001811EC" w:rsidRPr="00A608DA" w:rsidRDefault="002121F5">
      <w:pPr>
        <w:pStyle w:val="Paragrafoelenco"/>
        <w:numPr>
          <w:ilvl w:val="0"/>
          <w:numId w:val="24"/>
        </w:numPr>
        <w:jc w:val="both"/>
        <w:rPr>
          <w:rFonts w:ascii="Arial" w:hAnsi="Arial" w:cs="Arial"/>
          <w:sz w:val="22"/>
          <w:szCs w:val="22"/>
        </w:rPr>
      </w:pPr>
      <w:r w:rsidRPr="00A608DA">
        <w:rPr>
          <w:rFonts w:ascii="Arial" w:hAnsi="Arial" w:cs="Arial"/>
          <w:sz w:val="22"/>
          <w:szCs w:val="22"/>
        </w:rPr>
        <w:t>aggiornare le valutazione delle voci dell’attivo e del passivo nel rispetto del principio applicato della contabilità economico patrimoniale;</w:t>
      </w:r>
    </w:p>
    <w:p w:rsidR="001811EC" w:rsidRPr="00A608DA" w:rsidRDefault="002121F5">
      <w:pPr>
        <w:pStyle w:val="Paragrafoelenco"/>
        <w:numPr>
          <w:ilvl w:val="0"/>
          <w:numId w:val="24"/>
        </w:numPr>
        <w:jc w:val="both"/>
        <w:rPr>
          <w:rFonts w:ascii="Arial" w:hAnsi="Arial" w:cs="Arial"/>
          <w:sz w:val="22"/>
          <w:szCs w:val="22"/>
        </w:rPr>
      </w:pPr>
      <w:r w:rsidRPr="00A608DA">
        <w:rPr>
          <w:rFonts w:ascii="Arial" w:hAnsi="Arial" w:cs="Arial"/>
          <w:sz w:val="22"/>
          <w:szCs w:val="22"/>
        </w:rPr>
        <w:t>effettuare la ricognizione del perimetro del gruppo amministrazione pubblica ai fini del bilancio consolidato.</w:t>
      </w:r>
    </w:p>
    <w:p w:rsidR="001811EC" w:rsidRDefault="001811EC">
      <w:pPr>
        <w:pStyle w:val="Paragrafoelenco"/>
        <w:jc w:val="both"/>
        <w:rPr>
          <w:rFonts w:ascii="Arial" w:hAnsi="Arial" w:cs="Arial"/>
          <w:sz w:val="22"/>
          <w:szCs w:val="22"/>
        </w:rPr>
      </w:pPr>
    </w:p>
    <w:p w:rsidR="001811EC" w:rsidRDefault="002121F5">
      <w:pPr>
        <w:jc w:val="both"/>
        <w:rPr>
          <w:rFonts w:ascii="Arial" w:hAnsi="Arial" w:cs="Arial"/>
          <w:sz w:val="22"/>
          <w:szCs w:val="22"/>
        </w:rPr>
      </w:pPr>
      <w:r>
        <w:rPr>
          <w:rFonts w:ascii="Arial" w:hAnsi="Arial" w:cs="Arial"/>
          <w:b/>
          <w:i/>
          <w:sz w:val="22"/>
          <w:szCs w:val="22"/>
        </w:rPr>
        <w:br w:type="page"/>
      </w:r>
    </w:p>
    <w:p w:rsidR="001811EC" w:rsidRDefault="001811EC">
      <w:pPr>
        <w:pStyle w:val="tabella"/>
        <w:rPr>
          <w:i w:val="0"/>
          <w:sz w:val="22"/>
          <w:szCs w:val="22"/>
          <w:u w:val="none"/>
        </w:rPr>
      </w:pPr>
    </w:p>
    <w:p w:rsidR="001811EC" w:rsidRDefault="002121F5">
      <w:pPr>
        <w:pStyle w:val="Titolo1"/>
        <w:shd w:val="clear" w:color="auto" w:fill="B6DDE8" w:themeFill="accent5" w:themeFillTint="66"/>
      </w:pPr>
      <w:bookmarkStart w:id="107" w:name="_Toc408988077"/>
      <w:bookmarkStart w:id="108" w:name="_Toc469216222"/>
      <w:r>
        <w:t>CONCLUSIONI</w:t>
      </w:r>
      <w:bookmarkEnd w:id="107"/>
      <w:bookmarkEnd w:id="108"/>
    </w:p>
    <w:p w:rsidR="001811EC" w:rsidRDefault="002121F5">
      <w:pPr>
        <w:jc w:val="both"/>
        <w:rPr>
          <w:rFonts w:ascii="Arial" w:hAnsi="Arial" w:cs="Arial"/>
          <w:sz w:val="22"/>
          <w:szCs w:val="22"/>
        </w:rPr>
      </w:pPr>
      <w:r>
        <w:rPr>
          <w:rFonts w:ascii="Arial" w:hAnsi="Arial" w:cs="Arial"/>
          <w:sz w:val="22"/>
          <w:szCs w:val="22"/>
        </w:rPr>
        <w:t>In relazione alle motivazioni specificate nel presente parere, richiamato l’</w:t>
      </w:r>
      <w:hyperlink r:id="rId234" w:history="1">
        <w:r>
          <w:rPr>
            <w:rStyle w:val="Collegamentoipertestuale"/>
            <w:rFonts w:ascii="Arial" w:hAnsi="Arial" w:cs="Arial"/>
            <w:sz w:val="22"/>
            <w:szCs w:val="22"/>
          </w:rPr>
          <w:t>articolo 239 del TUEL</w:t>
        </w:r>
      </w:hyperlink>
      <w:r>
        <w:rPr>
          <w:rFonts w:ascii="Arial" w:hAnsi="Arial" w:cs="Arial"/>
          <w:sz w:val="22"/>
          <w:szCs w:val="22"/>
        </w:rPr>
        <w:t xml:space="preserve"> e tenuto conto:</w:t>
      </w:r>
    </w:p>
    <w:p w:rsidR="001811EC" w:rsidRDefault="002121F5">
      <w:pPr>
        <w:numPr>
          <w:ilvl w:val="0"/>
          <w:numId w:val="20"/>
        </w:numPr>
        <w:tabs>
          <w:tab w:val="left" w:pos="360"/>
        </w:tabs>
        <w:spacing w:before="120"/>
        <w:jc w:val="both"/>
        <w:rPr>
          <w:rFonts w:ascii="Arial" w:hAnsi="Arial" w:cs="Arial"/>
          <w:sz w:val="22"/>
          <w:szCs w:val="22"/>
        </w:rPr>
      </w:pPr>
      <w:r>
        <w:rPr>
          <w:rFonts w:ascii="Arial" w:hAnsi="Arial" w:cs="Arial"/>
          <w:sz w:val="22"/>
          <w:szCs w:val="22"/>
        </w:rPr>
        <w:t>del parere espresso sul DUP e sulla Nota di aggiornamento;</w:t>
      </w:r>
    </w:p>
    <w:p w:rsidR="001811EC" w:rsidRDefault="002121F5">
      <w:pPr>
        <w:numPr>
          <w:ilvl w:val="0"/>
          <w:numId w:val="20"/>
        </w:numPr>
        <w:tabs>
          <w:tab w:val="left" w:pos="360"/>
        </w:tabs>
        <w:spacing w:before="120"/>
        <w:jc w:val="both"/>
        <w:rPr>
          <w:rFonts w:ascii="Arial" w:hAnsi="Arial" w:cs="Arial"/>
          <w:sz w:val="22"/>
          <w:szCs w:val="22"/>
        </w:rPr>
      </w:pPr>
      <w:r>
        <w:rPr>
          <w:rFonts w:ascii="Arial" w:hAnsi="Arial" w:cs="Arial"/>
          <w:sz w:val="22"/>
          <w:szCs w:val="22"/>
        </w:rPr>
        <w:t>del parere espresso dal responsabile del servizio finanziario;</w:t>
      </w:r>
    </w:p>
    <w:p w:rsidR="001811EC" w:rsidRDefault="002121F5">
      <w:pPr>
        <w:numPr>
          <w:ilvl w:val="0"/>
          <w:numId w:val="20"/>
        </w:numPr>
        <w:tabs>
          <w:tab w:val="left" w:pos="360"/>
        </w:tabs>
        <w:spacing w:before="120"/>
        <w:jc w:val="both"/>
        <w:rPr>
          <w:rFonts w:ascii="Arial" w:hAnsi="Arial" w:cs="Arial"/>
          <w:sz w:val="22"/>
          <w:szCs w:val="22"/>
        </w:rPr>
      </w:pPr>
      <w:r>
        <w:rPr>
          <w:rFonts w:ascii="Arial" w:hAnsi="Arial" w:cs="Arial"/>
          <w:sz w:val="22"/>
          <w:szCs w:val="22"/>
        </w:rPr>
        <w:t>delle variazioni rispetto all’anno precedente.</w:t>
      </w:r>
    </w:p>
    <w:p w:rsidR="001811EC" w:rsidRDefault="002121F5">
      <w:pPr>
        <w:pStyle w:val="BodyText21"/>
        <w:spacing w:before="240"/>
        <w:rPr>
          <w:rFonts w:cs="Arial"/>
          <w:b w:val="0"/>
          <w:i w:val="0"/>
          <w:sz w:val="22"/>
          <w:szCs w:val="22"/>
        </w:rPr>
      </w:pPr>
      <w:r>
        <w:rPr>
          <w:rFonts w:cs="Arial"/>
          <w:b w:val="0"/>
          <w:i w:val="0"/>
          <w:sz w:val="22"/>
          <w:szCs w:val="22"/>
        </w:rPr>
        <w:t>L’organo di revisione:</w:t>
      </w:r>
    </w:p>
    <w:p w:rsidR="001811EC" w:rsidRDefault="002121F5">
      <w:pPr>
        <w:numPr>
          <w:ilvl w:val="0"/>
          <w:numId w:val="6"/>
        </w:numPr>
        <w:jc w:val="both"/>
        <w:rPr>
          <w:rFonts w:ascii="Arial" w:hAnsi="Arial" w:cs="Arial"/>
          <w:i/>
          <w:sz w:val="22"/>
          <w:szCs w:val="22"/>
        </w:rPr>
      </w:pPr>
      <w:r>
        <w:rPr>
          <w:rFonts w:ascii="Arial" w:hAnsi="Arial" w:cs="Arial"/>
          <w:sz w:val="22"/>
          <w:szCs w:val="22"/>
        </w:rPr>
        <w:t>ha verificato che il bilancio è stato redatto nell’osservanza delle norme di Legge, dello statuto dell’ente, del regolamento di contabilità, dei  principi previsti dall’</w:t>
      </w:r>
      <w:hyperlink r:id="rId235" w:history="1">
        <w:r>
          <w:rPr>
            <w:rStyle w:val="Collegamentoipertestuale"/>
            <w:rFonts w:ascii="Arial" w:hAnsi="Arial" w:cs="Arial"/>
            <w:sz w:val="22"/>
            <w:szCs w:val="22"/>
          </w:rPr>
          <w:t>articolo 162 del TUEL</w:t>
        </w:r>
      </w:hyperlink>
      <w:r>
        <w:rPr>
          <w:rFonts w:ascii="Arial" w:hAnsi="Arial" w:cs="Arial"/>
          <w:sz w:val="22"/>
          <w:szCs w:val="22"/>
        </w:rPr>
        <w:t xml:space="preserve"> e dalle norme del </w:t>
      </w:r>
      <w:hyperlink r:id="rId236" w:history="1">
        <w:proofErr w:type="spellStart"/>
        <w:r>
          <w:rPr>
            <w:rStyle w:val="Collegamentoipertestuale"/>
            <w:rFonts w:ascii="Arial" w:hAnsi="Arial" w:cs="Arial"/>
            <w:sz w:val="22"/>
            <w:szCs w:val="22"/>
          </w:rPr>
          <w:t>D.Lgs.</w:t>
        </w:r>
        <w:proofErr w:type="spellEnd"/>
        <w:r>
          <w:rPr>
            <w:rStyle w:val="Collegamentoipertestuale"/>
            <w:rFonts w:ascii="Arial" w:hAnsi="Arial" w:cs="Arial"/>
            <w:sz w:val="22"/>
            <w:szCs w:val="22"/>
          </w:rPr>
          <w:t xml:space="preserve"> n.118/2001</w:t>
        </w:r>
      </w:hyperlink>
      <w:r>
        <w:rPr>
          <w:rFonts w:ascii="Arial" w:hAnsi="Arial" w:cs="Arial"/>
          <w:sz w:val="22"/>
          <w:szCs w:val="22"/>
        </w:rPr>
        <w:t xml:space="preserve"> e dai </w:t>
      </w:r>
      <w:hyperlink r:id="rId237" w:history="1">
        <w:r>
          <w:rPr>
            <w:rStyle w:val="Collegamentoipertestuale"/>
            <w:rFonts w:ascii="Arial" w:hAnsi="Arial" w:cs="Arial"/>
            <w:sz w:val="22"/>
            <w:szCs w:val="22"/>
          </w:rPr>
          <w:t>principi contabili applicati n.4/1</w:t>
        </w:r>
      </w:hyperlink>
      <w:r>
        <w:rPr>
          <w:rFonts w:ascii="Arial" w:hAnsi="Arial" w:cs="Arial"/>
          <w:sz w:val="22"/>
          <w:szCs w:val="22"/>
        </w:rPr>
        <w:t xml:space="preserve"> e n. </w:t>
      </w:r>
      <w:hyperlink r:id="rId238" w:history="1">
        <w:r>
          <w:rPr>
            <w:rStyle w:val="Collegamentoipertestuale"/>
            <w:rFonts w:ascii="Arial" w:hAnsi="Arial" w:cs="Arial"/>
            <w:sz w:val="22"/>
            <w:szCs w:val="22"/>
          </w:rPr>
          <w:t>4/2</w:t>
        </w:r>
      </w:hyperlink>
      <w:r>
        <w:rPr>
          <w:rFonts w:ascii="Arial" w:hAnsi="Arial" w:cs="Arial"/>
          <w:sz w:val="22"/>
          <w:szCs w:val="22"/>
        </w:rPr>
        <w:t xml:space="preserve"> allegati al predetto decreto legislativo;</w:t>
      </w:r>
    </w:p>
    <w:p w:rsidR="001811EC" w:rsidRDefault="002121F5">
      <w:pPr>
        <w:pStyle w:val="BodyText21"/>
        <w:numPr>
          <w:ilvl w:val="0"/>
          <w:numId w:val="6"/>
        </w:numPr>
        <w:spacing w:before="120"/>
        <w:rPr>
          <w:rFonts w:cs="Arial"/>
          <w:b w:val="0"/>
          <w:i w:val="0"/>
          <w:sz w:val="22"/>
          <w:szCs w:val="22"/>
        </w:rPr>
      </w:pPr>
      <w:r>
        <w:rPr>
          <w:rFonts w:cs="Arial"/>
          <w:b w:val="0"/>
          <w:i w:val="0"/>
          <w:sz w:val="22"/>
          <w:szCs w:val="22"/>
        </w:rPr>
        <w:t>ha rilevato la coerenza interna, la congruità e l’attendibilità contabile delle previsioni di bilancio;</w:t>
      </w:r>
    </w:p>
    <w:p w:rsidR="001811EC" w:rsidRDefault="002121F5">
      <w:pPr>
        <w:pStyle w:val="BodyText21"/>
        <w:numPr>
          <w:ilvl w:val="0"/>
          <w:numId w:val="6"/>
        </w:numPr>
        <w:spacing w:before="120"/>
        <w:rPr>
          <w:rFonts w:cs="Arial"/>
          <w:b w:val="0"/>
          <w:i w:val="0"/>
          <w:sz w:val="22"/>
          <w:szCs w:val="22"/>
        </w:rPr>
      </w:pPr>
      <w:r>
        <w:rPr>
          <w:rFonts w:cs="Arial"/>
          <w:b w:val="0"/>
          <w:i w:val="0"/>
          <w:sz w:val="22"/>
          <w:szCs w:val="22"/>
        </w:rPr>
        <w:t>ha rilevato la coerenza esterna ed in particolare la possibilità con le previsioni proposte di rispettare i limiti disposti dalle norme relative al concorso degli enti locali alla realizzazione degli obiettivi di finanza pubblica.</w:t>
      </w:r>
    </w:p>
    <w:p w:rsidR="001811EC" w:rsidRDefault="002121F5">
      <w:pPr>
        <w:pStyle w:val="BodyText21"/>
        <w:spacing w:before="120"/>
        <w:rPr>
          <w:rFonts w:cs="Arial"/>
          <w:b w:val="0"/>
          <w:i w:val="0"/>
          <w:sz w:val="22"/>
          <w:szCs w:val="22"/>
        </w:rPr>
      </w:pPr>
      <w:r>
        <w:rPr>
          <w:rFonts w:cs="Arial"/>
          <w:b w:val="0"/>
          <w:i w:val="0"/>
          <w:sz w:val="22"/>
          <w:szCs w:val="22"/>
        </w:rPr>
        <w:t>Ed esprime, pertanto, parere favorevole sulla proposta di bilancio di previsione 2017-2019 e sui documenti allegati.</w:t>
      </w:r>
    </w:p>
    <w:p w:rsidR="001811EC" w:rsidRDefault="002121F5">
      <w:pPr>
        <w:pStyle w:val="BodyText21"/>
        <w:rPr>
          <w:rFonts w:cs="Arial"/>
          <w:b w:val="0"/>
          <w:i w:val="0"/>
          <w:color w:val="0000FF"/>
          <w:sz w:val="20"/>
        </w:rPr>
      </w:pPr>
      <w:r>
        <w:rPr>
          <w:rFonts w:cs="Arial"/>
          <w:b w:val="0"/>
          <w:i w:val="0"/>
          <w:color w:val="0000FF"/>
          <w:sz w:val="20"/>
        </w:rPr>
        <w:t>(Nel caso in cui sussistano le motivazioni esposte nel precedente paragrafo l’organo di revisione esprimerà un parere non favorevole, oppure un parere favorevole con riserva su specifiche problematiche emerse nel corso dell’analisi, sulla proposta di bilancio presentata dalla giunta e sui documenti allegati, in particolare nel caso in cui le previsioni portino a non rispettare il saldo di finanza pubblica (pareggio di bilancio) il parere può essere così articolato:)</w:t>
      </w:r>
    </w:p>
    <w:p w:rsidR="001811EC" w:rsidRDefault="001811EC">
      <w:pPr>
        <w:pStyle w:val="BodyText21"/>
        <w:rPr>
          <w:rFonts w:cs="Arial"/>
          <w:b w:val="0"/>
          <w:sz w:val="16"/>
        </w:rPr>
      </w:pPr>
    </w:p>
    <w:p w:rsidR="001811EC" w:rsidRDefault="002121F5">
      <w:pPr>
        <w:pBdr>
          <w:top w:val="outset" w:sz="6" w:space="1" w:color="auto"/>
          <w:left w:val="outset" w:sz="6" w:space="4" w:color="auto"/>
          <w:bottom w:val="inset" w:sz="6" w:space="1" w:color="auto"/>
          <w:right w:val="inset" w:sz="6" w:space="4" w:color="auto"/>
        </w:pBdr>
        <w:jc w:val="center"/>
        <w:rPr>
          <w:rFonts w:ascii="Arial" w:hAnsi="Arial" w:cs="Arial"/>
          <w:color w:val="0000FF"/>
          <w:sz w:val="20"/>
          <w:szCs w:val="20"/>
        </w:rPr>
      </w:pPr>
      <w:r>
        <w:rPr>
          <w:rFonts w:ascii="Arial" w:hAnsi="Arial" w:cs="Arial"/>
          <w:color w:val="0000FF"/>
          <w:sz w:val="20"/>
          <w:szCs w:val="20"/>
        </w:rPr>
        <w:t>Ipotesi 1</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sz w:val="20"/>
          <w:szCs w:val="20"/>
        </w:rPr>
      </w:pPr>
      <w:r>
        <w:rPr>
          <w:rFonts w:ascii="Arial" w:hAnsi="Arial" w:cs="Arial"/>
          <w:sz w:val="20"/>
          <w:szCs w:val="20"/>
        </w:rPr>
        <w:t>L’organo di revisione esprime parere favorevole sulla proposta di bilancio 2017-2019 e relativi allegati relativamente a:</w:t>
      </w:r>
    </w:p>
    <w:p w:rsidR="001811EC" w:rsidRDefault="002121F5">
      <w:pPr>
        <w:pStyle w:val="Paragrafoelenco"/>
        <w:numPr>
          <w:ilvl w:val="0"/>
          <w:numId w:val="6"/>
        </w:numPr>
        <w:pBdr>
          <w:top w:val="outset" w:sz="6" w:space="1" w:color="auto"/>
          <w:left w:val="outset" w:sz="6" w:space="4" w:color="auto"/>
          <w:bottom w:val="inset" w:sz="6" w:space="1" w:color="auto"/>
          <w:right w:val="inset" w:sz="6" w:space="4" w:color="auto"/>
        </w:pBdr>
        <w:jc w:val="both"/>
        <w:rPr>
          <w:rFonts w:ascii="Arial" w:hAnsi="Arial" w:cs="Arial"/>
          <w:sz w:val="20"/>
          <w:szCs w:val="20"/>
        </w:rPr>
      </w:pPr>
      <w:r>
        <w:rPr>
          <w:rFonts w:ascii="Arial" w:hAnsi="Arial" w:cs="Arial"/>
          <w:sz w:val="20"/>
          <w:szCs w:val="20"/>
        </w:rPr>
        <w:t xml:space="preserve">osservanza delle norme di Legge, dello statuto dell’ente, del regolamento di contabilità, dei principi previsti dall’articolo </w:t>
      </w:r>
      <w:hyperlink r:id="rId239" w:history="1">
        <w:r>
          <w:rPr>
            <w:rStyle w:val="Collegamentoipertestuale"/>
            <w:rFonts w:ascii="Arial" w:hAnsi="Arial" w:cs="Arial"/>
            <w:sz w:val="20"/>
            <w:szCs w:val="20"/>
          </w:rPr>
          <w:t>162 del TUEL</w:t>
        </w:r>
      </w:hyperlink>
      <w:r>
        <w:rPr>
          <w:rFonts w:ascii="Arial" w:hAnsi="Arial" w:cs="Arial"/>
          <w:sz w:val="20"/>
          <w:szCs w:val="20"/>
        </w:rPr>
        <w:t xml:space="preserve">, e dalle norme del </w:t>
      </w:r>
      <w:hyperlink r:id="rId240" w:history="1">
        <w:r>
          <w:rPr>
            <w:rStyle w:val="Collegamentoipertestuale"/>
            <w:rFonts w:ascii="Arial" w:hAnsi="Arial" w:cs="Arial"/>
            <w:sz w:val="20"/>
            <w:szCs w:val="20"/>
          </w:rPr>
          <w:t>D.Lgs.n.118/2001</w:t>
        </w:r>
      </w:hyperlink>
      <w:r>
        <w:rPr>
          <w:rFonts w:ascii="Arial" w:hAnsi="Arial" w:cs="Arial"/>
          <w:sz w:val="20"/>
          <w:szCs w:val="20"/>
        </w:rPr>
        <w:t xml:space="preserve"> e dai principi contabili applicati </w:t>
      </w:r>
      <w:hyperlink r:id="rId241" w:history="1">
        <w:r>
          <w:rPr>
            <w:rStyle w:val="Collegamentoipertestuale"/>
            <w:rFonts w:ascii="Arial" w:hAnsi="Arial" w:cs="Arial"/>
            <w:sz w:val="20"/>
            <w:szCs w:val="20"/>
          </w:rPr>
          <w:t>n.4/1</w:t>
        </w:r>
      </w:hyperlink>
      <w:r>
        <w:rPr>
          <w:rFonts w:ascii="Arial" w:hAnsi="Arial" w:cs="Arial"/>
          <w:sz w:val="20"/>
          <w:szCs w:val="20"/>
        </w:rPr>
        <w:t xml:space="preserve"> e </w:t>
      </w:r>
      <w:hyperlink r:id="rId242" w:history="1">
        <w:r>
          <w:rPr>
            <w:rStyle w:val="Collegamentoipertestuale"/>
            <w:rFonts w:ascii="Arial" w:hAnsi="Arial" w:cs="Arial"/>
            <w:sz w:val="20"/>
            <w:szCs w:val="20"/>
          </w:rPr>
          <w:t>4/2</w:t>
        </w:r>
      </w:hyperlink>
      <w:r>
        <w:rPr>
          <w:rFonts w:ascii="Arial" w:hAnsi="Arial" w:cs="Arial"/>
          <w:sz w:val="20"/>
          <w:szCs w:val="20"/>
        </w:rPr>
        <w:t xml:space="preserve"> allegati al predetto decreto legislativo;</w:t>
      </w:r>
    </w:p>
    <w:p w:rsidR="001811EC" w:rsidRDefault="002121F5">
      <w:pPr>
        <w:pStyle w:val="Paragrafoelenco"/>
        <w:numPr>
          <w:ilvl w:val="0"/>
          <w:numId w:val="6"/>
        </w:numPr>
        <w:pBdr>
          <w:top w:val="outset" w:sz="6" w:space="1" w:color="auto"/>
          <w:left w:val="outset" w:sz="6" w:space="4" w:color="auto"/>
          <w:bottom w:val="inset" w:sz="6" w:space="1" w:color="auto"/>
          <w:right w:val="inset" w:sz="6" w:space="4" w:color="auto"/>
        </w:pBdr>
        <w:jc w:val="both"/>
        <w:rPr>
          <w:rFonts w:ascii="Arial" w:hAnsi="Arial" w:cs="Arial"/>
          <w:sz w:val="20"/>
          <w:szCs w:val="20"/>
        </w:rPr>
      </w:pPr>
      <w:r>
        <w:rPr>
          <w:rFonts w:ascii="Arial" w:hAnsi="Arial" w:cs="Arial"/>
          <w:sz w:val="20"/>
          <w:szCs w:val="20"/>
        </w:rPr>
        <w:t>coerenza interna, congruità e attendibilità contabile delle previsioni di bilancio e dei programmi e progetti</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sz w:val="20"/>
          <w:szCs w:val="20"/>
        </w:rPr>
      </w:pPr>
      <w:r>
        <w:rPr>
          <w:rFonts w:ascii="Arial" w:hAnsi="Arial" w:cs="Arial"/>
          <w:sz w:val="20"/>
          <w:szCs w:val="20"/>
        </w:rPr>
        <w:t>e parere non favorevole relativamente al mancato rispetto del principio della coerenza esterna ed in particolare sull’impossibilità con le previsioni proposte di rispettare i limiti disposti dalla legge  per il saldo di finanza pubblica (pareggio di bilancio).</w:t>
      </w:r>
    </w:p>
    <w:p w:rsidR="001811EC" w:rsidRDefault="001811EC">
      <w:pPr>
        <w:tabs>
          <w:tab w:val="left" w:pos="5954"/>
        </w:tabs>
        <w:rPr>
          <w:rFonts w:ascii="Arial" w:hAnsi="Arial" w:cs="Arial"/>
          <w:i/>
          <w:sz w:val="20"/>
          <w:szCs w:val="20"/>
        </w:rPr>
      </w:pPr>
    </w:p>
    <w:p w:rsidR="001811EC" w:rsidRDefault="002121F5">
      <w:pPr>
        <w:pBdr>
          <w:top w:val="outset" w:sz="6" w:space="1" w:color="auto"/>
          <w:left w:val="outset" w:sz="6" w:space="4" w:color="auto"/>
          <w:bottom w:val="inset" w:sz="6" w:space="1" w:color="auto"/>
          <w:right w:val="inset" w:sz="6" w:space="4" w:color="auto"/>
        </w:pBdr>
        <w:jc w:val="center"/>
        <w:rPr>
          <w:rFonts w:ascii="Arial" w:hAnsi="Arial" w:cs="Arial"/>
          <w:color w:val="0000FF"/>
          <w:sz w:val="20"/>
          <w:szCs w:val="20"/>
        </w:rPr>
      </w:pPr>
      <w:r>
        <w:rPr>
          <w:rFonts w:ascii="Arial" w:hAnsi="Arial" w:cs="Arial"/>
          <w:color w:val="0000FF"/>
          <w:sz w:val="20"/>
          <w:szCs w:val="20"/>
        </w:rPr>
        <w:t>Ipotesi 2</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sz w:val="20"/>
          <w:szCs w:val="20"/>
        </w:rPr>
      </w:pPr>
      <w:r>
        <w:rPr>
          <w:rFonts w:ascii="Arial" w:hAnsi="Arial" w:cs="Arial"/>
          <w:sz w:val="20"/>
          <w:szCs w:val="20"/>
        </w:rPr>
        <w:t>L’organo di revisione esprime parere non favorevole sulla proposta di bilancio 2017-2019 e relativi allegati in quanto le previsioni di bilancio:</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sz w:val="20"/>
          <w:szCs w:val="20"/>
        </w:rPr>
      </w:pPr>
      <w:r>
        <w:rPr>
          <w:rFonts w:ascii="Arial" w:hAnsi="Arial" w:cs="Arial"/>
          <w:sz w:val="20"/>
          <w:szCs w:val="20"/>
        </w:rPr>
        <w:t>-non rispettano il principio della coerenza esterna ed in particolare gli obiettivi programmatici disposti dalla legge per il saldo di finanza pubblica anno/i …….;</w:t>
      </w:r>
    </w:p>
    <w:p w:rsidR="001811EC" w:rsidRDefault="002121F5">
      <w:pPr>
        <w:pBdr>
          <w:top w:val="outset" w:sz="6" w:space="1" w:color="auto"/>
          <w:left w:val="outset" w:sz="6" w:space="4" w:color="auto"/>
          <w:bottom w:val="inset" w:sz="6" w:space="1" w:color="auto"/>
          <w:right w:val="inset" w:sz="6" w:space="4" w:color="auto"/>
        </w:pBdr>
        <w:jc w:val="both"/>
        <w:rPr>
          <w:rFonts w:ascii="Arial" w:hAnsi="Arial" w:cs="Arial"/>
          <w:sz w:val="20"/>
          <w:szCs w:val="20"/>
        </w:rPr>
      </w:pPr>
      <w:r>
        <w:rPr>
          <w:rFonts w:ascii="Arial" w:hAnsi="Arial" w:cs="Arial"/>
          <w:sz w:val="20"/>
          <w:szCs w:val="20"/>
        </w:rPr>
        <w:t>-non tengono conto degli  effetti sanzionatori per il mancato rispetto del patto di stabilità interno anno 2016 e del saldo di finanza pubblica (pareggio di bilancio) per gli anni 2017-2018 e  2019, in particolare per le limitazioni imposte alle spese, all’indebitamento ed alle assunzioni di personale.</w:t>
      </w:r>
    </w:p>
    <w:p w:rsidR="001811EC" w:rsidRDefault="002121F5">
      <w:pPr>
        <w:pBdr>
          <w:top w:val="outset" w:sz="6" w:space="1" w:color="auto"/>
          <w:left w:val="outset" w:sz="6" w:space="4" w:color="auto"/>
          <w:bottom w:val="inset" w:sz="6" w:space="1" w:color="auto"/>
          <w:right w:val="inset" w:sz="6" w:space="4" w:color="auto"/>
        </w:pBdr>
        <w:tabs>
          <w:tab w:val="left" w:pos="1020"/>
        </w:tabs>
        <w:rPr>
          <w:rFonts w:ascii="Arial" w:hAnsi="Arial" w:cs="Arial"/>
          <w:b/>
          <w:sz w:val="20"/>
          <w:szCs w:val="20"/>
        </w:rPr>
      </w:pPr>
      <w:r>
        <w:rPr>
          <w:rFonts w:ascii="Arial" w:hAnsi="Arial" w:cs="Arial"/>
          <w:b/>
          <w:sz w:val="20"/>
          <w:szCs w:val="20"/>
        </w:rPr>
        <w:tab/>
      </w:r>
    </w:p>
    <w:p w:rsidR="001811EC" w:rsidRDefault="001811EC">
      <w:pPr>
        <w:tabs>
          <w:tab w:val="left" w:pos="5954"/>
        </w:tabs>
        <w:rPr>
          <w:rFonts w:ascii="Arial" w:hAnsi="Arial" w:cs="Arial"/>
          <w:b/>
          <w:sz w:val="20"/>
        </w:rPr>
      </w:pPr>
    </w:p>
    <w:p w:rsidR="001811EC" w:rsidRDefault="002121F5">
      <w:pPr>
        <w:tabs>
          <w:tab w:val="left" w:pos="5954"/>
        </w:tabs>
        <w:jc w:val="right"/>
        <w:rPr>
          <w:rFonts w:ascii="Arial" w:hAnsi="Arial" w:cs="Arial"/>
          <w:b/>
        </w:rPr>
      </w:pPr>
      <w:r>
        <w:rPr>
          <w:rFonts w:ascii="Arial" w:hAnsi="Arial" w:cs="Arial"/>
          <w:b/>
        </w:rPr>
        <w:t>L’ORGANO DI REVISIONE</w:t>
      </w:r>
    </w:p>
    <w:p w:rsidR="001811EC" w:rsidRDefault="001811EC">
      <w:pPr>
        <w:pStyle w:val="Titolo"/>
        <w:rPr>
          <w:i w:val="0"/>
          <w:sz w:val="40"/>
        </w:rPr>
      </w:pPr>
    </w:p>
    <w:p w:rsidR="001811EC" w:rsidRDefault="001811EC">
      <w:pPr>
        <w:pStyle w:val="Titolo"/>
        <w:rPr>
          <w:i w:val="0"/>
          <w:sz w:val="40"/>
        </w:rPr>
      </w:pPr>
    </w:p>
    <w:p w:rsidR="001811EC" w:rsidRDefault="001811EC">
      <w:pPr>
        <w:pStyle w:val="Titolo"/>
        <w:jc w:val="left"/>
        <w:rPr>
          <w:b w:val="0"/>
          <w:i w:val="0"/>
          <w:color w:val="00B0F0"/>
          <w:sz w:val="28"/>
          <w:szCs w:val="28"/>
        </w:rPr>
      </w:pPr>
    </w:p>
    <w:p w:rsidR="001811EC" w:rsidRDefault="002121F5">
      <w:pPr>
        <w:pStyle w:val="Titolo"/>
        <w:pBdr>
          <w:top w:val="single" w:sz="20" w:space="1" w:color="000000"/>
          <w:left w:val="single" w:sz="20" w:space="4" w:color="000000"/>
          <w:bottom w:val="single" w:sz="20" w:space="1" w:color="000000"/>
          <w:right w:val="single" w:sz="20" w:space="4" w:color="000000"/>
        </w:pBdr>
        <w:spacing w:after="0"/>
        <w:rPr>
          <w:b w:val="0"/>
          <w:i w:val="0"/>
          <w:sz w:val="28"/>
        </w:rPr>
      </w:pPr>
      <w:r>
        <w:rPr>
          <w:b w:val="0"/>
          <w:i w:val="0"/>
          <w:sz w:val="28"/>
        </w:rPr>
        <w:t>Il presente documento nasce dalla collaborazione tra il Consiglio Nazionale dei Dottori Commercialisti e degli Esperti Contabili e da ANCREL</w:t>
      </w:r>
    </w:p>
    <w:p w:rsidR="001811EC" w:rsidRDefault="002121F5">
      <w:pPr>
        <w:pStyle w:val="Titolo"/>
        <w:pBdr>
          <w:top w:val="single" w:sz="20" w:space="1" w:color="000000"/>
          <w:left w:val="single" w:sz="20" w:space="4" w:color="000000"/>
          <w:bottom w:val="single" w:sz="20" w:space="1" w:color="000000"/>
          <w:right w:val="single" w:sz="20" w:space="4" w:color="000000"/>
        </w:pBdr>
        <w:rPr>
          <w:b w:val="0"/>
          <w:i w:val="0"/>
          <w:sz w:val="28"/>
        </w:rPr>
      </w:pPr>
      <w:r>
        <w:rPr>
          <w:b w:val="0"/>
          <w:i w:val="0"/>
          <w:sz w:val="28"/>
        </w:rPr>
        <w:t>(Associazione Nazionale Revisori e Certificatori Enti Locali)</w:t>
      </w:r>
    </w:p>
    <w:p w:rsidR="001811EC" w:rsidRDefault="002121F5">
      <w:pPr>
        <w:pStyle w:val="Titolo"/>
        <w:pBdr>
          <w:top w:val="single" w:sz="20" w:space="1" w:color="000000"/>
          <w:left w:val="single" w:sz="20" w:space="4" w:color="000000"/>
          <w:bottom w:val="single" w:sz="20" w:space="1" w:color="000000"/>
          <w:right w:val="single" w:sz="20" w:space="4" w:color="000000"/>
        </w:pBdr>
        <w:jc w:val="both"/>
        <w:rPr>
          <w:b w:val="0"/>
          <w:i w:val="0"/>
          <w:sz w:val="28"/>
        </w:rPr>
      </w:pPr>
      <w:r>
        <w:rPr>
          <w:b w:val="0"/>
          <w:i w:val="0"/>
          <w:sz w:val="28"/>
        </w:rPr>
        <w:t>Il documento è aggiornato sulla base della normativa per gli enti locali approvata fino al 31/12/2016 e tiene conto del rinvio al 28/2/2017, del termine per deliberare il bilancio di previsione 2017-2019 stabilito dalla legge di bilancio 2017.</w:t>
      </w:r>
    </w:p>
    <w:p w:rsidR="001811EC" w:rsidRDefault="002121F5">
      <w:pPr>
        <w:pStyle w:val="Titolo"/>
        <w:pBdr>
          <w:top w:val="single" w:sz="20" w:space="1" w:color="000000"/>
          <w:left w:val="single" w:sz="20" w:space="4" w:color="000000"/>
          <w:bottom w:val="single" w:sz="20" w:space="1" w:color="000000"/>
          <w:right w:val="single" w:sz="20" w:space="4" w:color="000000"/>
        </w:pBdr>
        <w:jc w:val="both"/>
        <w:rPr>
          <w:b w:val="0"/>
          <w:i w:val="0"/>
          <w:sz w:val="28"/>
        </w:rPr>
      </w:pPr>
      <w:r>
        <w:rPr>
          <w:b w:val="0"/>
          <w:i w:val="0"/>
          <w:sz w:val="28"/>
        </w:rPr>
        <w:t xml:space="preserve">Il documento è composto di un testo word con traccia del parere dell’organo di revisione e da una cartella </w:t>
      </w:r>
      <w:proofErr w:type="spellStart"/>
      <w:r>
        <w:rPr>
          <w:b w:val="0"/>
          <w:i w:val="0"/>
          <w:sz w:val="28"/>
        </w:rPr>
        <w:t>excel</w:t>
      </w:r>
      <w:proofErr w:type="spellEnd"/>
      <w:r>
        <w:rPr>
          <w:b w:val="0"/>
          <w:i w:val="0"/>
          <w:sz w:val="28"/>
        </w:rPr>
        <w:t xml:space="preserve"> contenente le tabelle esposte nel documento word.</w:t>
      </w:r>
    </w:p>
    <w:p w:rsidR="001811EC" w:rsidRDefault="002121F5">
      <w:pPr>
        <w:pStyle w:val="Titolo"/>
        <w:pBdr>
          <w:top w:val="single" w:sz="20" w:space="1" w:color="000000"/>
          <w:left w:val="single" w:sz="20" w:space="4" w:color="000000"/>
          <w:bottom w:val="single" w:sz="20" w:space="1" w:color="000000"/>
          <w:right w:val="single" w:sz="20" w:space="4" w:color="000000"/>
        </w:pBdr>
        <w:jc w:val="both"/>
        <w:rPr>
          <w:b w:val="0"/>
          <w:i w:val="0"/>
          <w:sz w:val="28"/>
        </w:rPr>
      </w:pPr>
      <w:r>
        <w:rPr>
          <w:b w:val="0"/>
          <w:i w:val="0"/>
          <w:sz w:val="28"/>
        </w:rPr>
        <w:t>Il documento costituisce soltanto una traccia per la formazione del parere da parte dell’organo di revisione, il quale resta esclusivo responsabile nei rapporti con tutti i soggetti dello stesso destinatari.</w:t>
      </w:r>
    </w:p>
    <w:p w:rsidR="001811EC" w:rsidRDefault="002121F5">
      <w:pPr>
        <w:pStyle w:val="Titolo"/>
        <w:pBdr>
          <w:top w:val="single" w:sz="20" w:space="1" w:color="000000"/>
          <w:left w:val="single" w:sz="20" w:space="4" w:color="000000"/>
          <w:bottom w:val="single" w:sz="20" w:space="1" w:color="000000"/>
          <w:right w:val="single" w:sz="20" w:space="4" w:color="000000"/>
        </w:pBdr>
        <w:jc w:val="both"/>
        <w:rPr>
          <w:b w:val="0"/>
          <w:i w:val="0"/>
          <w:sz w:val="28"/>
        </w:rPr>
      </w:pPr>
      <w:r>
        <w:rPr>
          <w:b w:val="0"/>
          <w:i w:val="0"/>
          <w:sz w:val="28"/>
        </w:rPr>
        <w:t xml:space="preserve">Si declina ogni responsabilità per eventuali errori nel contenuto del testo del parere ovvero nella formazione delle tabelle nell’accluso foglio di calcolo </w:t>
      </w:r>
      <w:proofErr w:type="spellStart"/>
      <w:r>
        <w:rPr>
          <w:b w:val="0"/>
          <w:i w:val="0"/>
          <w:sz w:val="28"/>
        </w:rPr>
        <w:t>excel</w:t>
      </w:r>
      <w:proofErr w:type="spellEnd"/>
      <w:r>
        <w:rPr>
          <w:b w:val="0"/>
          <w:i w:val="0"/>
          <w:sz w:val="28"/>
        </w:rPr>
        <w:t xml:space="preserve">. </w:t>
      </w:r>
    </w:p>
    <w:p w:rsidR="001811EC" w:rsidRDefault="001811EC">
      <w:pPr>
        <w:pStyle w:val="Titolo"/>
        <w:jc w:val="left"/>
        <w:rPr>
          <w:b w:val="0"/>
          <w:i w:val="0"/>
          <w:color w:val="00B0F0"/>
          <w:sz w:val="28"/>
          <w:szCs w:val="28"/>
        </w:rPr>
      </w:pPr>
    </w:p>
    <w:p w:rsidR="001811EC" w:rsidRDefault="001811EC">
      <w:pPr>
        <w:pStyle w:val="Titolo"/>
        <w:pBdr>
          <w:top w:val="single" w:sz="4" w:space="1" w:color="auto"/>
          <w:left w:val="single" w:sz="4" w:space="4" w:color="auto"/>
          <w:bottom w:val="single" w:sz="4" w:space="1" w:color="auto"/>
          <w:right w:val="single" w:sz="4" w:space="4" w:color="auto"/>
        </w:pBdr>
        <w:jc w:val="both"/>
        <w:rPr>
          <w:b w:val="0"/>
          <w:i w:val="0"/>
          <w:color w:val="00B0F0"/>
          <w:sz w:val="28"/>
          <w:szCs w:val="28"/>
        </w:rPr>
      </w:pPr>
    </w:p>
    <w:p w:rsidR="001811EC" w:rsidRDefault="002121F5">
      <w:pPr>
        <w:pStyle w:val="Titolo"/>
        <w:pBdr>
          <w:top w:val="single" w:sz="4" w:space="1" w:color="auto"/>
          <w:left w:val="single" w:sz="4" w:space="4" w:color="auto"/>
          <w:bottom w:val="single" w:sz="4" w:space="1" w:color="auto"/>
          <w:right w:val="single" w:sz="4" w:space="4" w:color="auto"/>
        </w:pBdr>
        <w:jc w:val="both"/>
        <w:rPr>
          <w:b w:val="0"/>
          <w:i w:val="0"/>
          <w:color w:val="00B0F0"/>
          <w:sz w:val="28"/>
          <w:szCs w:val="28"/>
        </w:rPr>
      </w:pPr>
      <w:r>
        <w:rPr>
          <w:b w:val="0"/>
          <w:i w:val="0"/>
          <w:color w:val="00B0F0"/>
          <w:sz w:val="28"/>
          <w:szCs w:val="28"/>
        </w:rPr>
        <w:t xml:space="preserve">Lo schema di parere è stato predisposto dal gruppo tecnico </w:t>
      </w:r>
      <w:r>
        <w:rPr>
          <w:i w:val="0"/>
          <w:color w:val="00B0F0"/>
          <w:sz w:val="28"/>
          <w:szCs w:val="28"/>
        </w:rPr>
        <w:t>ANCREL</w:t>
      </w:r>
      <w:r>
        <w:rPr>
          <w:b w:val="0"/>
          <w:i w:val="0"/>
          <w:color w:val="00B0F0"/>
          <w:sz w:val="28"/>
          <w:szCs w:val="28"/>
        </w:rPr>
        <w:t xml:space="preserve"> composto da:</w:t>
      </w:r>
    </w:p>
    <w:p w:rsidR="001811EC" w:rsidRDefault="002121F5">
      <w:pPr>
        <w:pStyle w:val="Titolo"/>
        <w:pBdr>
          <w:top w:val="single" w:sz="4" w:space="1" w:color="auto"/>
          <w:left w:val="single" w:sz="4" w:space="4" w:color="auto"/>
          <w:bottom w:val="single" w:sz="4" w:space="1" w:color="auto"/>
          <w:right w:val="single" w:sz="4" w:space="4" w:color="auto"/>
        </w:pBdr>
        <w:jc w:val="both"/>
        <w:rPr>
          <w:b w:val="0"/>
          <w:color w:val="00B0F0"/>
          <w:sz w:val="28"/>
          <w:szCs w:val="28"/>
        </w:rPr>
      </w:pPr>
      <w:r>
        <w:rPr>
          <w:b w:val="0"/>
          <w:color w:val="00B0F0"/>
          <w:sz w:val="28"/>
          <w:szCs w:val="28"/>
        </w:rPr>
        <w:t xml:space="preserve">Ricciardi Rosa, Maria Grazia Zeppa, Battisti Patrizio, Borghi Antonino, Castellani Marco, </w:t>
      </w:r>
      <w:proofErr w:type="spellStart"/>
      <w:r>
        <w:rPr>
          <w:b w:val="0"/>
          <w:color w:val="00B0F0"/>
          <w:sz w:val="28"/>
          <w:szCs w:val="28"/>
        </w:rPr>
        <w:t>Fazzi</w:t>
      </w:r>
      <w:proofErr w:type="spellEnd"/>
      <w:r>
        <w:rPr>
          <w:b w:val="0"/>
          <w:color w:val="00B0F0"/>
          <w:sz w:val="28"/>
          <w:szCs w:val="28"/>
        </w:rPr>
        <w:t xml:space="preserve"> Luciano, Moretti Sergio, </w:t>
      </w:r>
      <w:proofErr w:type="spellStart"/>
      <w:r>
        <w:rPr>
          <w:b w:val="0"/>
          <w:color w:val="00B0F0"/>
          <w:sz w:val="28"/>
          <w:szCs w:val="28"/>
        </w:rPr>
        <w:t>Munafò</w:t>
      </w:r>
      <w:proofErr w:type="spellEnd"/>
      <w:r>
        <w:rPr>
          <w:b w:val="0"/>
          <w:color w:val="00B0F0"/>
          <w:sz w:val="28"/>
          <w:szCs w:val="28"/>
        </w:rPr>
        <w:t xml:space="preserve"> Giuseppe e </w:t>
      </w:r>
      <w:proofErr w:type="spellStart"/>
      <w:r>
        <w:rPr>
          <w:b w:val="0"/>
          <w:color w:val="00B0F0"/>
          <w:sz w:val="28"/>
          <w:szCs w:val="28"/>
        </w:rPr>
        <w:t>Pazzaglini</w:t>
      </w:r>
      <w:proofErr w:type="spellEnd"/>
      <w:r>
        <w:rPr>
          <w:b w:val="0"/>
          <w:color w:val="00B0F0"/>
          <w:sz w:val="28"/>
          <w:szCs w:val="28"/>
        </w:rPr>
        <w:t xml:space="preserve"> Tommaso.</w:t>
      </w:r>
    </w:p>
    <w:p w:rsidR="001811EC" w:rsidRDefault="001811EC">
      <w:pPr>
        <w:pStyle w:val="Titolo"/>
        <w:pBdr>
          <w:top w:val="single" w:sz="4" w:space="1" w:color="auto"/>
          <w:left w:val="single" w:sz="4" w:space="4" w:color="auto"/>
          <w:bottom w:val="single" w:sz="4" w:space="1" w:color="auto"/>
          <w:right w:val="single" w:sz="4" w:space="4" w:color="auto"/>
        </w:pBdr>
        <w:jc w:val="left"/>
        <w:rPr>
          <w:b w:val="0"/>
          <w:color w:val="00B0F0"/>
          <w:sz w:val="28"/>
          <w:szCs w:val="28"/>
        </w:rPr>
      </w:pPr>
    </w:p>
    <w:sectPr w:rsidR="001811EC" w:rsidSect="00FF759A">
      <w:headerReference w:type="default" r:id="rId243"/>
      <w:footerReference w:type="even" r:id="rId244"/>
      <w:footerReference w:type="default" r:id="rId245"/>
      <w:type w:val="continuous"/>
      <w:pgSz w:w="11906" w:h="16838" w:code="9"/>
      <w:pgMar w:top="1417" w:right="1134" w:bottom="1134" w:left="1134" w:header="709" w:footer="709"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6D1" w:rsidRDefault="009716D1">
      <w:r>
        <w:separator/>
      </w:r>
    </w:p>
  </w:endnote>
  <w:endnote w:type="continuationSeparator" w:id="0">
    <w:p w:rsidR="009716D1" w:rsidRDefault="00971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ItcCenturyLight">
    <w:panose1 w:val="00000000000000000000"/>
    <w:charset w:val="00"/>
    <w:family w:val="auto"/>
    <w:notTrueType/>
    <w:pitch w:val="default"/>
    <w:sig w:usb0="00000003" w:usb1="00000000" w:usb2="00000000" w:usb3="00000000" w:csb0="00000001" w:csb1="00000000"/>
  </w:font>
  <w:font w:name="UniversExBlkExt">
    <w:panose1 w:val="00000000000000000000"/>
    <w:charset w:val="00"/>
    <w:family w:val="auto"/>
    <w:notTrueType/>
    <w:pitch w:val="default"/>
    <w:sig w:usb0="00000003" w:usb1="00000000" w:usb2="00000000" w:usb3="00000000" w:csb0="00000001" w:csb1="00000000"/>
  </w:font>
  <w:font w:name="Futu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horndale AMT">
    <w:altName w:val="Times New Roman"/>
    <w:panose1 w:val="00000000000000000000"/>
    <w:charset w:val="00"/>
    <w:family w:val="roman"/>
    <w:notTrueType/>
    <w:pitch w:val="variable"/>
    <w:sig w:usb0="00000003" w:usb1="00000000" w:usb2="00000000" w:usb3="00000000" w:csb0="00000001"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94D" w:rsidRDefault="00B7794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B7794D" w:rsidRDefault="00B7794D">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94D" w:rsidRDefault="00B7794D">
    <w:pPr>
      <w:pBdr>
        <w:top w:val="single" w:sz="4" w:space="1" w:color="auto"/>
      </w:pBdr>
      <w:tabs>
        <w:tab w:val="left" w:pos="0"/>
        <w:tab w:val="right" w:pos="9306"/>
      </w:tabs>
      <w:rPr>
        <w:rFonts w:ascii="Arial" w:hAnsi="Arial" w:cs="Arial"/>
        <w:b/>
        <w:sz w:val="18"/>
        <w:szCs w:val="20"/>
      </w:rPr>
    </w:pPr>
    <w:r>
      <w:rPr>
        <w:rFonts w:ascii="Arial" w:hAnsi="Arial" w:cs="Arial"/>
        <w:b/>
        <w:sz w:val="18"/>
        <w:szCs w:val="20"/>
      </w:rPr>
      <w:t xml:space="preserve">Parere dell’Organo di Revisione sul bilancio di previsione 2017-2019 </w:t>
    </w:r>
    <w:r>
      <w:rPr>
        <w:rFonts w:ascii="Arial" w:hAnsi="Arial" w:cs="Arial"/>
        <w:b/>
        <w:sz w:val="18"/>
        <w:szCs w:val="20"/>
      </w:rPr>
      <w:tab/>
      <w:t xml:space="preserve">Pagina </w:t>
    </w:r>
    <w:r>
      <w:rPr>
        <w:rFonts w:ascii="Arial" w:hAnsi="Arial" w:cs="Arial"/>
        <w:b/>
        <w:sz w:val="18"/>
        <w:szCs w:val="20"/>
      </w:rPr>
      <w:fldChar w:fldCharType="begin"/>
    </w:r>
    <w:r>
      <w:rPr>
        <w:rFonts w:ascii="Arial" w:hAnsi="Arial" w:cs="Arial"/>
        <w:b/>
        <w:sz w:val="18"/>
        <w:szCs w:val="20"/>
      </w:rPr>
      <w:instrText xml:space="preserve"> PAGE </w:instrText>
    </w:r>
    <w:r>
      <w:rPr>
        <w:rFonts w:ascii="Arial" w:hAnsi="Arial" w:cs="Arial"/>
        <w:b/>
        <w:sz w:val="18"/>
        <w:szCs w:val="20"/>
      </w:rPr>
      <w:fldChar w:fldCharType="separate"/>
    </w:r>
    <w:r w:rsidR="0080380A">
      <w:rPr>
        <w:rFonts w:ascii="Arial" w:hAnsi="Arial" w:cs="Arial"/>
        <w:b/>
        <w:noProof/>
        <w:sz w:val="18"/>
        <w:szCs w:val="20"/>
      </w:rPr>
      <w:t>2</w:t>
    </w:r>
    <w:r>
      <w:rPr>
        <w:rFonts w:ascii="Arial" w:hAnsi="Arial" w:cs="Arial"/>
        <w:b/>
        <w:sz w:val="18"/>
        <w:szCs w:val="20"/>
      </w:rPr>
      <w:fldChar w:fldCharType="end"/>
    </w:r>
    <w:r>
      <w:rPr>
        <w:rFonts w:ascii="Arial" w:hAnsi="Arial" w:cs="Arial"/>
        <w:b/>
        <w:sz w:val="18"/>
        <w:szCs w:val="20"/>
      </w:rPr>
      <w:t xml:space="preserve"> di </w:t>
    </w:r>
    <w:r>
      <w:rPr>
        <w:rFonts w:ascii="Arial" w:hAnsi="Arial" w:cs="Arial"/>
        <w:b/>
        <w:sz w:val="18"/>
        <w:szCs w:val="20"/>
      </w:rPr>
      <w:fldChar w:fldCharType="begin"/>
    </w:r>
    <w:r>
      <w:rPr>
        <w:rFonts w:ascii="Arial" w:hAnsi="Arial" w:cs="Arial"/>
        <w:b/>
        <w:sz w:val="18"/>
        <w:szCs w:val="20"/>
      </w:rPr>
      <w:instrText xml:space="preserve"> NUMPAGES  </w:instrText>
    </w:r>
    <w:r>
      <w:rPr>
        <w:rFonts w:ascii="Arial" w:hAnsi="Arial" w:cs="Arial"/>
        <w:b/>
        <w:sz w:val="18"/>
        <w:szCs w:val="20"/>
      </w:rPr>
      <w:fldChar w:fldCharType="separate"/>
    </w:r>
    <w:r w:rsidR="0080380A">
      <w:rPr>
        <w:rFonts w:ascii="Arial" w:hAnsi="Arial" w:cs="Arial"/>
        <w:b/>
        <w:noProof/>
        <w:sz w:val="18"/>
        <w:szCs w:val="20"/>
      </w:rPr>
      <w:t>48</w:t>
    </w:r>
    <w:r>
      <w:rPr>
        <w:rFonts w:ascii="Arial" w:hAnsi="Arial" w:cs="Arial"/>
        <w:b/>
        <w:sz w:val="18"/>
        <w:szCs w:val="20"/>
      </w:rPr>
      <w:fldChar w:fldCharType="end"/>
    </w:r>
  </w:p>
  <w:p w:rsidR="00B7794D" w:rsidRDefault="009716D1">
    <w:pPr>
      <w:pBdr>
        <w:top w:val="single" w:sz="4" w:space="1" w:color="auto"/>
      </w:pBdr>
      <w:tabs>
        <w:tab w:val="left" w:pos="0"/>
        <w:tab w:val="right" w:pos="9306"/>
      </w:tabs>
      <w:jc w:val="center"/>
      <w:rPr>
        <w:rFonts w:ascii="Arial" w:hAnsi="Arial" w:cs="Arial"/>
        <w:b/>
        <w:sz w:val="18"/>
        <w:szCs w:val="20"/>
      </w:rPr>
    </w:pPr>
    <w:hyperlink r:id="rId1" w:history="1">
      <w:r w:rsidR="00B7794D">
        <w:rPr>
          <w:rStyle w:val="Collegamentoipertestuale"/>
          <w:rFonts w:ascii="Arial" w:hAnsi="Arial" w:cs="Arial"/>
          <w:b/>
          <w:sz w:val="18"/>
          <w:szCs w:val="20"/>
        </w:rPr>
        <w:t>www.ancrel.it</w:t>
      </w:r>
    </w:hyperlink>
  </w:p>
  <w:p w:rsidR="00B7794D" w:rsidRDefault="00B7794D">
    <w:pPr>
      <w:pStyle w:val="Pidipagina"/>
      <w:pBdr>
        <w:top w:val="none" w:sz="0" w:space="0" w:color="auto"/>
      </w:pBdr>
      <w:tabs>
        <w:tab w:val="left" w:pos="0"/>
        <w:tab w:val="left" w:pos="8190"/>
      </w:tabs>
      <w:ind w:right="-50"/>
      <w:jc w:val="left"/>
      <w:rPr>
        <w:rFonts w:ascii="Garamond" w:hAnsi="Garamond"/>
        <w:sz w:val="20"/>
      </w:rPr>
    </w:pPr>
    <w:r>
      <w:rPr>
        <w:rFonts w:ascii="Garamond" w:hAnsi="Garamond"/>
        <w:sz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6D1" w:rsidRDefault="009716D1">
      <w:r>
        <w:separator/>
      </w:r>
    </w:p>
  </w:footnote>
  <w:footnote w:type="continuationSeparator" w:id="0">
    <w:p w:rsidR="009716D1" w:rsidRDefault="009716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94D" w:rsidRDefault="00B7794D">
    <w:pPr>
      <w:pStyle w:val="Intestazione"/>
      <w:jc w:val="right"/>
      <w:rPr>
        <w:rFonts w:cs="Arial"/>
        <w:b/>
        <w:sz w:val="20"/>
      </w:rPr>
    </w:pPr>
    <w:r>
      <w:rPr>
        <w:rFonts w:cs="Arial"/>
        <w:b/>
        <w:sz w:val="20"/>
      </w:rPr>
      <w:t>Comune di………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83CB9"/>
    <w:multiLevelType w:val="hybridMultilevel"/>
    <w:tmpl w:val="522A6A5C"/>
    <w:lvl w:ilvl="0" w:tplc="FFFFFFFF">
      <w:start w:val="1"/>
      <w:numFmt w:val="bullet"/>
      <w:lvlText w:val="-"/>
      <w:lvlJc w:val="left"/>
      <w:pPr>
        <w:tabs>
          <w:tab w:val="num" w:pos="720"/>
        </w:tabs>
        <w:ind w:left="720" w:hanging="360"/>
      </w:pPr>
      <w:rPr>
        <w:rFonts w:ascii="Times New Roman" w:eastAsia="Times New Roman" w:hAnsi="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
    <w:nsid w:val="0BDA68A6"/>
    <w:multiLevelType w:val="hybridMultilevel"/>
    <w:tmpl w:val="C03C4E4E"/>
    <w:lvl w:ilvl="0" w:tplc="73748356">
      <w:start w:val="1"/>
      <w:numFmt w:val="bullet"/>
      <w:lvlText w:val="-"/>
      <w:lvlJc w:val="left"/>
      <w:pPr>
        <w:tabs>
          <w:tab w:val="num" w:pos="786"/>
        </w:tabs>
        <w:ind w:left="786" w:hanging="360"/>
      </w:pPr>
      <w:rPr>
        <w:rFonts w:ascii="Times New Roman" w:eastAsia="Times New Roman" w:hAnsi="Times New Roman" w:hint="default"/>
      </w:rPr>
    </w:lvl>
    <w:lvl w:ilvl="1" w:tplc="31D645D6">
      <w:start w:val="1"/>
      <w:numFmt w:val="decimal"/>
      <w:lvlText w:val="%2."/>
      <w:lvlJc w:val="left"/>
      <w:pPr>
        <w:tabs>
          <w:tab w:val="num" w:pos="1440"/>
        </w:tabs>
        <w:ind w:left="1440" w:hanging="360"/>
      </w:pPr>
      <w:rPr>
        <w:rFonts w:cs="Times New Roman"/>
      </w:rPr>
    </w:lvl>
    <w:lvl w:ilvl="2" w:tplc="7EF84F82">
      <w:start w:val="1"/>
      <w:numFmt w:val="decimal"/>
      <w:lvlText w:val="%3."/>
      <w:lvlJc w:val="left"/>
      <w:pPr>
        <w:tabs>
          <w:tab w:val="num" w:pos="2160"/>
        </w:tabs>
        <w:ind w:left="2160" w:hanging="360"/>
      </w:pPr>
      <w:rPr>
        <w:rFonts w:cs="Times New Roman"/>
      </w:rPr>
    </w:lvl>
    <w:lvl w:ilvl="3" w:tplc="AD4E1844">
      <w:start w:val="1"/>
      <w:numFmt w:val="decimal"/>
      <w:lvlText w:val="%4."/>
      <w:lvlJc w:val="left"/>
      <w:pPr>
        <w:tabs>
          <w:tab w:val="num" w:pos="2880"/>
        </w:tabs>
        <w:ind w:left="2880" w:hanging="360"/>
      </w:pPr>
      <w:rPr>
        <w:rFonts w:cs="Times New Roman"/>
      </w:rPr>
    </w:lvl>
    <w:lvl w:ilvl="4" w:tplc="69021174">
      <w:start w:val="1"/>
      <w:numFmt w:val="decimal"/>
      <w:lvlText w:val="%5."/>
      <w:lvlJc w:val="left"/>
      <w:pPr>
        <w:tabs>
          <w:tab w:val="num" w:pos="3600"/>
        </w:tabs>
        <w:ind w:left="3600" w:hanging="360"/>
      </w:pPr>
      <w:rPr>
        <w:rFonts w:cs="Times New Roman"/>
      </w:rPr>
    </w:lvl>
    <w:lvl w:ilvl="5" w:tplc="E0B88BC0">
      <w:start w:val="1"/>
      <w:numFmt w:val="decimal"/>
      <w:lvlText w:val="%6."/>
      <w:lvlJc w:val="left"/>
      <w:pPr>
        <w:tabs>
          <w:tab w:val="num" w:pos="4320"/>
        </w:tabs>
        <w:ind w:left="4320" w:hanging="360"/>
      </w:pPr>
      <w:rPr>
        <w:rFonts w:cs="Times New Roman"/>
      </w:rPr>
    </w:lvl>
    <w:lvl w:ilvl="6" w:tplc="E94A3C18">
      <w:start w:val="1"/>
      <w:numFmt w:val="decimal"/>
      <w:lvlText w:val="%7."/>
      <w:lvlJc w:val="left"/>
      <w:pPr>
        <w:tabs>
          <w:tab w:val="num" w:pos="5040"/>
        </w:tabs>
        <w:ind w:left="5040" w:hanging="360"/>
      </w:pPr>
      <w:rPr>
        <w:rFonts w:cs="Times New Roman"/>
      </w:rPr>
    </w:lvl>
    <w:lvl w:ilvl="7" w:tplc="AFFCD71C">
      <w:start w:val="1"/>
      <w:numFmt w:val="decimal"/>
      <w:lvlText w:val="%8."/>
      <w:lvlJc w:val="left"/>
      <w:pPr>
        <w:tabs>
          <w:tab w:val="num" w:pos="5760"/>
        </w:tabs>
        <w:ind w:left="5760" w:hanging="360"/>
      </w:pPr>
      <w:rPr>
        <w:rFonts w:cs="Times New Roman"/>
      </w:rPr>
    </w:lvl>
    <w:lvl w:ilvl="8" w:tplc="06F40CDA">
      <w:start w:val="1"/>
      <w:numFmt w:val="decimal"/>
      <w:lvlText w:val="%9."/>
      <w:lvlJc w:val="left"/>
      <w:pPr>
        <w:tabs>
          <w:tab w:val="num" w:pos="6480"/>
        </w:tabs>
        <w:ind w:left="6480" w:hanging="360"/>
      </w:pPr>
      <w:rPr>
        <w:rFonts w:cs="Times New Roman"/>
      </w:rPr>
    </w:lvl>
  </w:abstractNum>
  <w:abstractNum w:abstractNumId="2">
    <w:nsid w:val="0C1666AC"/>
    <w:multiLevelType w:val="hybridMultilevel"/>
    <w:tmpl w:val="57DCF676"/>
    <w:lvl w:ilvl="0" w:tplc="43A81B18">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C3F78"/>
    <w:multiLevelType w:val="hybridMultilevel"/>
    <w:tmpl w:val="4C74514A"/>
    <w:lvl w:ilvl="0" w:tplc="43A81B18">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CCE441F"/>
    <w:multiLevelType w:val="hybridMultilevel"/>
    <w:tmpl w:val="2974A96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7B61E80"/>
    <w:multiLevelType w:val="hybridMultilevel"/>
    <w:tmpl w:val="17A6C0FC"/>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CB2614E"/>
    <w:multiLevelType w:val="multilevel"/>
    <w:tmpl w:val="E264B9D2"/>
    <w:lvl w:ilvl="0">
      <w:numFmt w:val="bullet"/>
      <w:lvlText w:val=""/>
      <w:lvlJc w:val="left"/>
      <w:pPr>
        <w:ind w:left="360" w:hanging="360"/>
      </w:pPr>
      <w:rPr>
        <w:rFonts w:ascii="Symbol" w:eastAsiaTheme="minorHAnsi" w:hAnsi="Symbol" w:cstheme="minorBidi" w:hint="default"/>
        <w:sz w:val="16"/>
      </w:rPr>
    </w:lvl>
    <w:lvl w:ilvl="1">
      <w:start w:val="1"/>
      <w:numFmt w:val="none"/>
      <w:lvlText w:val="o"/>
      <w:legacy w:legacy="1" w:legacySpace="120" w:legacyIndent="360"/>
      <w:lvlJc w:val="left"/>
      <w:pPr>
        <w:ind w:left="720" w:hanging="360"/>
      </w:pPr>
      <w:rPr>
        <w:rFonts w:ascii="Courier New" w:hAnsi="Courier New" w:cs="Times New Roman"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Times New Roman"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Times New Roman"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abstractNum w:abstractNumId="7">
    <w:nsid w:val="32616650"/>
    <w:multiLevelType w:val="hybridMultilevel"/>
    <w:tmpl w:val="FF7E1560"/>
    <w:lvl w:ilvl="0" w:tplc="04100017">
      <w:start w:val="8"/>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BFB5AE0"/>
    <w:multiLevelType w:val="hybridMultilevel"/>
    <w:tmpl w:val="13002C18"/>
    <w:lvl w:ilvl="0" w:tplc="3C2E3542">
      <w:start w:val="1"/>
      <w:numFmt w:val="lowerLetter"/>
      <w:lvlText w:val="%1)"/>
      <w:lvlJc w:val="left"/>
      <w:pPr>
        <w:tabs>
          <w:tab w:val="num" w:pos="360"/>
        </w:tabs>
        <w:ind w:left="360" w:hanging="360"/>
      </w:pPr>
      <w:rPr>
        <w:rFonts w:cs="Times New Roman"/>
      </w:rPr>
    </w:lvl>
    <w:lvl w:ilvl="1" w:tplc="73748356">
      <w:start w:val="1"/>
      <w:numFmt w:val="bullet"/>
      <w:lvlText w:val="-"/>
      <w:lvlJc w:val="left"/>
      <w:pPr>
        <w:tabs>
          <w:tab w:val="num" w:pos="1080"/>
        </w:tabs>
        <w:ind w:left="1080" w:hanging="360"/>
      </w:pPr>
      <w:rPr>
        <w:rFonts w:ascii="Times New Roman" w:eastAsia="Times New Roman" w:hAnsi="Times New Roman" w:hint="default"/>
      </w:rPr>
    </w:lvl>
    <w:lvl w:ilvl="2" w:tplc="F8DE199E">
      <w:start w:val="1"/>
      <w:numFmt w:val="decimal"/>
      <w:lvlText w:val="%3."/>
      <w:lvlJc w:val="left"/>
      <w:pPr>
        <w:tabs>
          <w:tab w:val="num" w:pos="2160"/>
        </w:tabs>
        <w:ind w:left="2160" w:hanging="360"/>
      </w:pPr>
      <w:rPr>
        <w:rFonts w:cs="Times New Roman"/>
      </w:rPr>
    </w:lvl>
    <w:lvl w:ilvl="3" w:tplc="051E8D78">
      <w:start w:val="1"/>
      <w:numFmt w:val="decimal"/>
      <w:lvlText w:val="%4."/>
      <w:lvlJc w:val="left"/>
      <w:pPr>
        <w:tabs>
          <w:tab w:val="num" w:pos="2880"/>
        </w:tabs>
        <w:ind w:left="2880" w:hanging="360"/>
      </w:pPr>
      <w:rPr>
        <w:rFonts w:cs="Times New Roman"/>
      </w:rPr>
    </w:lvl>
    <w:lvl w:ilvl="4" w:tplc="DAE052AE">
      <w:start w:val="1"/>
      <w:numFmt w:val="decimal"/>
      <w:lvlText w:val="%5."/>
      <w:lvlJc w:val="left"/>
      <w:pPr>
        <w:tabs>
          <w:tab w:val="num" w:pos="3600"/>
        </w:tabs>
        <w:ind w:left="3600" w:hanging="360"/>
      </w:pPr>
      <w:rPr>
        <w:rFonts w:cs="Times New Roman"/>
      </w:rPr>
    </w:lvl>
    <w:lvl w:ilvl="5" w:tplc="30688BFA">
      <w:start w:val="1"/>
      <w:numFmt w:val="decimal"/>
      <w:lvlText w:val="%6."/>
      <w:lvlJc w:val="left"/>
      <w:pPr>
        <w:tabs>
          <w:tab w:val="num" w:pos="4320"/>
        </w:tabs>
        <w:ind w:left="4320" w:hanging="360"/>
      </w:pPr>
      <w:rPr>
        <w:rFonts w:cs="Times New Roman"/>
      </w:rPr>
    </w:lvl>
    <w:lvl w:ilvl="6" w:tplc="88524830">
      <w:start w:val="1"/>
      <w:numFmt w:val="decimal"/>
      <w:lvlText w:val="%7."/>
      <w:lvlJc w:val="left"/>
      <w:pPr>
        <w:tabs>
          <w:tab w:val="num" w:pos="5040"/>
        </w:tabs>
        <w:ind w:left="5040" w:hanging="360"/>
      </w:pPr>
      <w:rPr>
        <w:rFonts w:cs="Times New Roman"/>
      </w:rPr>
    </w:lvl>
    <w:lvl w:ilvl="7" w:tplc="D0BE8460">
      <w:start w:val="1"/>
      <w:numFmt w:val="decimal"/>
      <w:lvlText w:val="%8."/>
      <w:lvlJc w:val="left"/>
      <w:pPr>
        <w:tabs>
          <w:tab w:val="num" w:pos="5760"/>
        </w:tabs>
        <w:ind w:left="5760" w:hanging="360"/>
      </w:pPr>
      <w:rPr>
        <w:rFonts w:cs="Times New Roman"/>
      </w:rPr>
    </w:lvl>
    <w:lvl w:ilvl="8" w:tplc="F83A53C4">
      <w:start w:val="1"/>
      <w:numFmt w:val="decimal"/>
      <w:lvlText w:val="%9."/>
      <w:lvlJc w:val="left"/>
      <w:pPr>
        <w:tabs>
          <w:tab w:val="num" w:pos="6480"/>
        </w:tabs>
        <w:ind w:left="6480" w:hanging="360"/>
      </w:pPr>
      <w:rPr>
        <w:rFonts w:cs="Times New Roman"/>
      </w:rPr>
    </w:lvl>
  </w:abstractNum>
  <w:abstractNum w:abstractNumId="9">
    <w:nsid w:val="3FC77781"/>
    <w:multiLevelType w:val="multilevel"/>
    <w:tmpl w:val="CA1C0896"/>
    <w:lvl w:ilvl="0">
      <w:start w:val="1"/>
      <w:numFmt w:val="lowerLetter"/>
      <w:lvlText w:val="%1)"/>
      <w:lvlJc w:val="left"/>
      <w:pPr>
        <w:ind w:left="360" w:hanging="360"/>
      </w:pPr>
      <w:rPr>
        <w:rFonts w:cs="Times New Roman" w:hint="default"/>
        <w:sz w:val="24"/>
        <w:szCs w:val="24"/>
      </w:rPr>
    </w:lvl>
    <w:lvl w:ilvl="1">
      <w:start w:val="1"/>
      <w:numFmt w:val="none"/>
      <w:lvlText w:val="o"/>
      <w:legacy w:legacy="1" w:legacySpace="120" w:legacyIndent="360"/>
      <w:lvlJc w:val="left"/>
      <w:pPr>
        <w:ind w:left="720" w:hanging="360"/>
      </w:pPr>
      <w:rPr>
        <w:rFonts w:ascii="Courier New" w:hAnsi="Courier New" w:cs="Times New Roman"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Times New Roman"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Times New Roman"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abstractNum w:abstractNumId="10">
    <w:nsid w:val="474C77F6"/>
    <w:multiLevelType w:val="multilevel"/>
    <w:tmpl w:val="DDBAE24C"/>
    <w:lvl w:ilvl="0">
      <w:numFmt w:val="bullet"/>
      <w:lvlText w:val="-"/>
      <w:lvlJc w:val="left"/>
      <w:pPr>
        <w:ind w:left="360" w:hanging="360"/>
      </w:pPr>
      <w:rPr>
        <w:rFonts w:ascii="Arial" w:eastAsia="Times New Roman" w:hAnsi="Arial" w:hint="default"/>
        <w:sz w:val="16"/>
      </w:rPr>
    </w:lvl>
    <w:lvl w:ilvl="1">
      <w:start w:val="1"/>
      <w:numFmt w:val="none"/>
      <w:lvlText w:val="o"/>
      <w:legacy w:legacy="1" w:legacySpace="120" w:legacyIndent="360"/>
      <w:lvlJc w:val="left"/>
      <w:pPr>
        <w:ind w:left="720" w:hanging="360"/>
      </w:pPr>
      <w:rPr>
        <w:rFonts w:ascii="Courier New" w:hAnsi="Courier New" w:cs="Times New Roman"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Times New Roman"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Times New Roman"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abstractNum w:abstractNumId="11">
    <w:nsid w:val="4B4E285F"/>
    <w:multiLevelType w:val="hybridMultilevel"/>
    <w:tmpl w:val="071E461C"/>
    <w:lvl w:ilvl="0" w:tplc="903AAA68">
      <w:start w:val="166"/>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C85515C"/>
    <w:multiLevelType w:val="hybridMultilevel"/>
    <w:tmpl w:val="140EE472"/>
    <w:lvl w:ilvl="0" w:tplc="8A4600E8">
      <w:numFmt w:val="bullet"/>
      <w:lvlText w:val="-"/>
      <w:lvlJc w:val="left"/>
      <w:pPr>
        <w:ind w:left="360" w:hanging="360"/>
      </w:pPr>
      <w:rPr>
        <w:rFonts w:ascii="Arial" w:eastAsia="Times New Roman" w:hAnsi="Aria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nsid w:val="5F5B60BD"/>
    <w:multiLevelType w:val="hybridMultilevel"/>
    <w:tmpl w:val="FC6451E6"/>
    <w:lvl w:ilvl="0" w:tplc="F138A334">
      <w:start w:val="1"/>
      <w:numFmt w:val="bullet"/>
      <w:lvlText w:val="-"/>
      <w:lvlJc w:val="left"/>
      <w:pPr>
        <w:tabs>
          <w:tab w:val="num" w:pos="360"/>
        </w:tabs>
        <w:ind w:left="360" w:hanging="360"/>
      </w:pPr>
      <w:rPr>
        <w:rFonts w:ascii="Times New Roman" w:eastAsia="Times New Roman" w:hAnsi="Times New Roman" w:hint="default"/>
      </w:rPr>
    </w:lvl>
    <w:lvl w:ilvl="1" w:tplc="8D10318E" w:tentative="1">
      <w:start w:val="1"/>
      <w:numFmt w:val="bullet"/>
      <w:lvlText w:val="o"/>
      <w:lvlJc w:val="left"/>
      <w:pPr>
        <w:tabs>
          <w:tab w:val="num" w:pos="1440"/>
        </w:tabs>
        <w:ind w:left="1440" w:hanging="360"/>
      </w:pPr>
      <w:rPr>
        <w:rFonts w:ascii="Courier New" w:hAnsi="Courier New" w:hint="default"/>
      </w:rPr>
    </w:lvl>
    <w:lvl w:ilvl="2" w:tplc="7DC436CA" w:tentative="1">
      <w:start w:val="1"/>
      <w:numFmt w:val="bullet"/>
      <w:lvlText w:val=""/>
      <w:lvlJc w:val="left"/>
      <w:pPr>
        <w:tabs>
          <w:tab w:val="num" w:pos="2160"/>
        </w:tabs>
        <w:ind w:left="2160" w:hanging="360"/>
      </w:pPr>
      <w:rPr>
        <w:rFonts w:ascii="Wingdings" w:hAnsi="Wingdings" w:hint="default"/>
      </w:rPr>
    </w:lvl>
    <w:lvl w:ilvl="3" w:tplc="68DE7CBC" w:tentative="1">
      <w:start w:val="1"/>
      <w:numFmt w:val="bullet"/>
      <w:lvlText w:val=""/>
      <w:lvlJc w:val="left"/>
      <w:pPr>
        <w:tabs>
          <w:tab w:val="num" w:pos="2880"/>
        </w:tabs>
        <w:ind w:left="2880" w:hanging="360"/>
      </w:pPr>
      <w:rPr>
        <w:rFonts w:ascii="Symbol" w:hAnsi="Symbol" w:hint="default"/>
      </w:rPr>
    </w:lvl>
    <w:lvl w:ilvl="4" w:tplc="DF2AECFC" w:tentative="1">
      <w:start w:val="1"/>
      <w:numFmt w:val="bullet"/>
      <w:lvlText w:val="o"/>
      <w:lvlJc w:val="left"/>
      <w:pPr>
        <w:tabs>
          <w:tab w:val="num" w:pos="3600"/>
        </w:tabs>
        <w:ind w:left="3600" w:hanging="360"/>
      </w:pPr>
      <w:rPr>
        <w:rFonts w:ascii="Courier New" w:hAnsi="Courier New" w:hint="default"/>
      </w:rPr>
    </w:lvl>
    <w:lvl w:ilvl="5" w:tplc="01D0F7D4" w:tentative="1">
      <w:start w:val="1"/>
      <w:numFmt w:val="bullet"/>
      <w:lvlText w:val=""/>
      <w:lvlJc w:val="left"/>
      <w:pPr>
        <w:tabs>
          <w:tab w:val="num" w:pos="4320"/>
        </w:tabs>
        <w:ind w:left="4320" w:hanging="360"/>
      </w:pPr>
      <w:rPr>
        <w:rFonts w:ascii="Wingdings" w:hAnsi="Wingdings" w:hint="default"/>
      </w:rPr>
    </w:lvl>
    <w:lvl w:ilvl="6" w:tplc="0A6AE94E" w:tentative="1">
      <w:start w:val="1"/>
      <w:numFmt w:val="bullet"/>
      <w:lvlText w:val=""/>
      <w:lvlJc w:val="left"/>
      <w:pPr>
        <w:tabs>
          <w:tab w:val="num" w:pos="5040"/>
        </w:tabs>
        <w:ind w:left="5040" w:hanging="360"/>
      </w:pPr>
      <w:rPr>
        <w:rFonts w:ascii="Symbol" w:hAnsi="Symbol" w:hint="default"/>
      </w:rPr>
    </w:lvl>
    <w:lvl w:ilvl="7" w:tplc="112654A6" w:tentative="1">
      <w:start w:val="1"/>
      <w:numFmt w:val="bullet"/>
      <w:lvlText w:val="o"/>
      <w:lvlJc w:val="left"/>
      <w:pPr>
        <w:tabs>
          <w:tab w:val="num" w:pos="5760"/>
        </w:tabs>
        <w:ind w:left="5760" w:hanging="360"/>
      </w:pPr>
      <w:rPr>
        <w:rFonts w:ascii="Courier New" w:hAnsi="Courier New" w:hint="default"/>
      </w:rPr>
    </w:lvl>
    <w:lvl w:ilvl="8" w:tplc="DF08EC5E" w:tentative="1">
      <w:start w:val="1"/>
      <w:numFmt w:val="bullet"/>
      <w:lvlText w:val=""/>
      <w:lvlJc w:val="left"/>
      <w:pPr>
        <w:tabs>
          <w:tab w:val="num" w:pos="6480"/>
        </w:tabs>
        <w:ind w:left="6480" w:hanging="360"/>
      </w:pPr>
      <w:rPr>
        <w:rFonts w:ascii="Wingdings" w:hAnsi="Wingdings" w:hint="default"/>
      </w:rPr>
    </w:lvl>
  </w:abstractNum>
  <w:abstractNum w:abstractNumId="14">
    <w:nsid w:val="61C74FF6"/>
    <w:multiLevelType w:val="hybridMultilevel"/>
    <w:tmpl w:val="4DFAD87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BEE4A64"/>
    <w:multiLevelType w:val="hybridMultilevel"/>
    <w:tmpl w:val="17A6C0FC"/>
    <w:lvl w:ilvl="0" w:tplc="04100017">
      <w:start w:val="1"/>
      <w:numFmt w:val="lowerLetter"/>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F515856"/>
    <w:multiLevelType w:val="hybridMultilevel"/>
    <w:tmpl w:val="53F655EC"/>
    <w:lvl w:ilvl="0" w:tplc="3C2E3542">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71132A5E"/>
    <w:multiLevelType w:val="hybridMultilevel"/>
    <w:tmpl w:val="75B03EC0"/>
    <w:lvl w:ilvl="0" w:tplc="43A81B18">
      <w:numFmt w:val="bullet"/>
      <w:lvlText w:val="-"/>
      <w:lvlJc w:val="left"/>
      <w:pPr>
        <w:tabs>
          <w:tab w:val="num" w:pos="720"/>
        </w:tabs>
        <w:ind w:left="720" w:hanging="360"/>
      </w:pPr>
      <w:rPr>
        <w:rFonts w:ascii="Arial" w:eastAsia="Times New Roman" w:hAnsi="Arial" w:hint="default"/>
      </w:rPr>
    </w:lvl>
    <w:lvl w:ilvl="1" w:tplc="F0F6B994" w:tentative="1">
      <w:start w:val="1"/>
      <w:numFmt w:val="bullet"/>
      <w:lvlText w:val="o"/>
      <w:lvlJc w:val="left"/>
      <w:pPr>
        <w:tabs>
          <w:tab w:val="num" w:pos="1440"/>
        </w:tabs>
        <w:ind w:left="1440" w:hanging="360"/>
      </w:pPr>
      <w:rPr>
        <w:rFonts w:ascii="Courier New" w:hAnsi="Courier New" w:hint="default"/>
      </w:rPr>
    </w:lvl>
    <w:lvl w:ilvl="2" w:tplc="F222C8DE" w:tentative="1">
      <w:start w:val="1"/>
      <w:numFmt w:val="bullet"/>
      <w:lvlText w:val=""/>
      <w:lvlJc w:val="left"/>
      <w:pPr>
        <w:tabs>
          <w:tab w:val="num" w:pos="2160"/>
        </w:tabs>
        <w:ind w:left="2160" w:hanging="360"/>
      </w:pPr>
      <w:rPr>
        <w:rFonts w:ascii="Wingdings" w:hAnsi="Wingdings" w:hint="default"/>
      </w:rPr>
    </w:lvl>
    <w:lvl w:ilvl="3" w:tplc="7A547E1E" w:tentative="1">
      <w:start w:val="1"/>
      <w:numFmt w:val="bullet"/>
      <w:lvlText w:val=""/>
      <w:lvlJc w:val="left"/>
      <w:pPr>
        <w:tabs>
          <w:tab w:val="num" w:pos="2880"/>
        </w:tabs>
        <w:ind w:left="2880" w:hanging="360"/>
      </w:pPr>
      <w:rPr>
        <w:rFonts w:ascii="Symbol" w:hAnsi="Symbol" w:hint="default"/>
      </w:rPr>
    </w:lvl>
    <w:lvl w:ilvl="4" w:tplc="A5BA637C" w:tentative="1">
      <w:start w:val="1"/>
      <w:numFmt w:val="bullet"/>
      <w:lvlText w:val="o"/>
      <w:lvlJc w:val="left"/>
      <w:pPr>
        <w:tabs>
          <w:tab w:val="num" w:pos="3600"/>
        </w:tabs>
        <w:ind w:left="3600" w:hanging="360"/>
      </w:pPr>
      <w:rPr>
        <w:rFonts w:ascii="Courier New" w:hAnsi="Courier New" w:hint="default"/>
      </w:rPr>
    </w:lvl>
    <w:lvl w:ilvl="5" w:tplc="2662D30C" w:tentative="1">
      <w:start w:val="1"/>
      <w:numFmt w:val="bullet"/>
      <w:lvlText w:val=""/>
      <w:lvlJc w:val="left"/>
      <w:pPr>
        <w:tabs>
          <w:tab w:val="num" w:pos="4320"/>
        </w:tabs>
        <w:ind w:left="4320" w:hanging="360"/>
      </w:pPr>
      <w:rPr>
        <w:rFonts w:ascii="Wingdings" w:hAnsi="Wingdings" w:hint="default"/>
      </w:rPr>
    </w:lvl>
    <w:lvl w:ilvl="6" w:tplc="13EED308" w:tentative="1">
      <w:start w:val="1"/>
      <w:numFmt w:val="bullet"/>
      <w:lvlText w:val=""/>
      <w:lvlJc w:val="left"/>
      <w:pPr>
        <w:tabs>
          <w:tab w:val="num" w:pos="5040"/>
        </w:tabs>
        <w:ind w:left="5040" w:hanging="360"/>
      </w:pPr>
      <w:rPr>
        <w:rFonts w:ascii="Symbol" w:hAnsi="Symbol" w:hint="default"/>
      </w:rPr>
    </w:lvl>
    <w:lvl w:ilvl="7" w:tplc="6F2EC11A" w:tentative="1">
      <w:start w:val="1"/>
      <w:numFmt w:val="bullet"/>
      <w:lvlText w:val="o"/>
      <w:lvlJc w:val="left"/>
      <w:pPr>
        <w:tabs>
          <w:tab w:val="num" w:pos="5760"/>
        </w:tabs>
        <w:ind w:left="5760" w:hanging="360"/>
      </w:pPr>
      <w:rPr>
        <w:rFonts w:ascii="Courier New" w:hAnsi="Courier New" w:hint="default"/>
      </w:rPr>
    </w:lvl>
    <w:lvl w:ilvl="8" w:tplc="91DC1F80" w:tentative="1">
      <w:start w:val="1"/>
      <w:numFmt w:val="bullet"/>
      <w:lvlText w:val=""/>
      <w:lvlJc w:val="left"/>
      <w:pPr>
        <w:tabs>
          <w:tab w:val="num" w:pos="6480"/>
        </w:tabs>
        <w:ind w:left="6480" w:hanging="360"/>
      </w:pPr>
      <w:rPr>
        <w:rFonts w:ascii="Wingdings" w:hAnsi="Wingdings" w:hint="default"/>
      </w:rPr>
    </w:lvl>
  </w:abstractNum>
  <w:abstractNum w:abstractNumId="18">
    <w:nsid w:val="7153509B"/>
    <w:multiLevelType w:val="hybridMultilevel"/>
    <w:tmpl w:val="3D683638"/>
    <w:lvl w:ilvl="0" w:tplc="B9B03E4A">
      <w:start w:val="1"/>
      <w:numFmt w:val="bullet"/>
      <w:lvlText w:val="-"/>
      <w:lvlJc w:val="left"/>
      <w:pPr>
        <w:tabs>
          <w:tab w:val="num" w:pos="360"/>
        </w:tabs>
        <w:ind w:left="360" w:hanging="360"/>
      </w:pPr>
      <w:rPr>
        <w:rFonts w:ascii="Times New Roman" w:eastAsia="Times New Roman" w:hAnsi="Times New Roman" w:hint="default"/>
      </w:rPr>
    </w:lvl>
    <w:lvl w:ilvl="1" w:tplc="E806CE44">
      <w:start w:val="1"/>
      <w:numFmt w:val="decimal"/>
      <w:lvlText w:val="%2."/>
      <w:lvlJc w:val="left"/>
      <w:pPr>
        <w:tabs>
          <w:tab w:val="num" w:pos="1440"/>
        </w:tabs>
        <w:ind w:left="1440" w:hanging="360"/>
      </w:pPr>
      <w:rPr>
        <w:rFonts w:cs="Times New Roman"/>
      </w:rPr>
    </w:lvl>
    <w:lvl w:ilvl="2" w:tplc="A62696FE">
      <w:start w:val="1"/>
      <w:numFmt w:val="decimal"/>
      <w:lvlText w:val="%3."/>
      <w:lvlJc w:val="left"/>
      <w:pPr>
        <w:tabs>
          <w:tab w:val="num" w:pos="2160"/>
        </w:tabs>
        <w:ind w:left="2160" w:hanging="360"/>
      </w:pPr>
      <w:rPr>
        <w:rFonts w:cs="Times New Roman"/>
      </w:rPr>
    </w:lvl>
    <w:lvl w:ilvl="3" w:tplc="1960CB46">
      <w:start w:val="1"/>
      <w:numFmt w:val="decimal"/>
      <w:lvlText w:val="%4."/>
      <w:lvlJc w:val="left"/>
      <w:pPr>
        <w:tabs>
          <w:tab w:val="num" w:pos="2880"/>
        </w:tabs>
        <w:ind w:left="2880" w:hanging="360"/>
      </w:pPr>
      <w:rPr>
        <w:rFonts w:cs="Times New Roman"/>
      </w:rPr>
    </w:lvl>
    <w:lvl w:ilvl="4" w:tplc="B5A28A5A">
      <w:start w:val="1"/>
      <w:numFmt w:val="decimal"/>
      <w:lvlText w:val="%5."/>
      <w:lvlJc w:val="left"/>
      <w:pPr>
        <w:tabs>
          <w:tab w:val="num" w:pos="3600"/>
        </w:tabs>
        <w:ind w:left="3600" w:hanging="360"/>
      </w:pPr>
      <w:rPr>
        <w:rFonts w:cs="Times New Roman"/>
      </w:rPr>
    </w:lvl>
    <w:lvl w:ilvl="5" w:tplc="13BC87D4">
      <w:start w:val="1"/>
      <w:numFmt w:val="decimal"/>
      <w:lvlText w:val="%6."/>
      <w:lvlJc w:val="left"/>
      <w:pPr>
        <w:tabs>
          <w:tab w:val="num" w:pos="4320"/>
        </w:tabs>
        <w:ind w:left="4320" w:hanging="360"/>
      </w:pPr>
      <w:rPr>
        <w:rFonts w:cs="Times New Roman"/>
      </w:rPr>
    </w:lvl>
    <w:lvl w:ilvl="6" w:tplc="4692B3E2">
      <w:start w:val="1"/>
      <w:numFmt w:val="decimal"/>
      <w:lvlText w:val="%7."/>
      <w:lvlJc w:val="left"/>
      <w:pPr>
        <w:tabs>
          <w:tab w:val="num" w:pos="5040"/>
        </w:tabs>
        <w:ind w:left="5040" w:hanging="360"/>
      </w:pPr>
      <w:rPr>
        <w:rFonts w:cs="Times New Roman"/>
      </w:rPr>
    </w:lvl>
    <w:lvl w:ilvl="7" w:tplc="6F963A08">
      <w:start w:val="1"/>
      <w:numFmt w:val="decimal"/>
      <w:lvlText w:val="%8."/>
      <w:lvlJc w:val="left"/>
      <w:pPr>
        <w:tabs>
          <w:tab w:val="num" w:pos="5760"/>
        </w:tabs>
        <w:ind w:left="5760" w:hanging="360"/>
      </w:pPr>
      <w:rPr>
        <w:rFonts w:cs="Times New Roman"/>
      </w:rPr>
    </w:lvl>
    <w:lvl w:ilvl="8" w:tplc="ADDA0F5A">
      <w:start w:val="1"/>
      <w:numFmt w:val="decimal"/>
      <w:lvlText w:val="%9."/>
      <w:lvlJc w:val="left"/>
      <w:pPr>
        <w:tabs>
          <w:tab w:val="num" w:pos="6480"/>
        </w:tabs>
        <w:ind w:left="6480" w:hanging="360"/>
      </w:pPr>
      <w:rPr>
        <w:rFonts w:cs="Times New Roman"/>
      </w:rPr>
    </w:lvl>
  </w:abstractNum>
  <w:abstractNum w:abstractNumId="19">
    <w:nsid w:val="72AF7C0F"/>
    <w:multiLevelType w:val="hybridMultilevel"/>
    <w:tmpl w:val="43520E5E"/>
    <w:lvl w:ilvl="0" w:tplc="7A4C59BE">
      <w:start w:val="1"/>
      <w:numFmt w:val="bullet"/>
      <w:lvlText w:val="-"/>
      <w:lvlJc w:val="left"/>
      <w:pPr>
        <w:tabs>
          <w:tab w:val="num" w:pos="360"/>
        </w:tabs>
        <w:ind w:left="360" w:hanging="360"/>
      </w:pPr>
      <w:rPr>
        <w:rFonts w:ascii="Times New Roman" w:eastAsia="Times New Roman" w:hAnsi="Times New Roman" w:hint="default"/>
      </w:rPr>
    </w:lvl>
    <w:lvl w:ilvl="1" w:tplc="63A8B3F2">
      <w:start w:val="1"/>
      <w:numFmt w:val="decimal"/>
      <w:lvlText w:val="%2."/>
      <w:lvlJc w:val="left"/>
      <w:pPr>
        <w:tabs>
          <w:tab w:val="num" w:pos="1440"/>
        </w:tabs>
        <w:ind w:left="1440" w:hanging="360"/>
      </w:pPr>
      <w:rPr>
        <w:rFonts w:cs="Times New Roman"/>
      </w:rPr>
    </w:lvl>
    <w:lvl w:ilvl="2" w:tplc="C3E259C8">
      <w:start w:val="1"/>
      <w:numFmt w:val="decimal"/>
      <w:lvlText w:val="%3."/>
      <w:lvlJc w:val="left"/>
      <w:pPr>
        <w:tabs>
          <w:tab w:val="num" w:pos="2160"/>
        </w:tabs>
        <w:ind w:left="2160" w:hanging="360"/>
      </w:pPr>
      <w:rPr>
        <w:rFonts w:cs="Times New Roman"/>
      </w:rPr>
    </w:lvl>
    <w:lvl w:ilvl="3" w:tplc="C388E698">
      <w:start w:val="1"/>
      <w:numFmt w:val="decimal"/>
      <w:lvlText w:val="%4."/>
      <w:lvlJc w:val="left"/>
      <w:pPr>
        <w:tabs>
          <w:tab w:val="num" w:pos="2880"/>
        </w:tabs>
        <w:ind w:left="2880" w:hanging="360"/>
      </w:pPr>
      <w:rPr>
        <w:rFonts w:cs="Times New Roman"/>
      </w:rPr>
    </w:lvl>
    <w:lvl w:ilvl="4" w:tplc="1A220D42">
      <w:start w:val="1"/>
      <w:numFmt w:val="decimal"/>
      <w:lvlText w:val="%5."/>
      <w:lvlJc w:val="left"/>
      <w:pPr>
        <w:tabs>
          <w:tab w:val="num" w:pos="3600"/>
        </w:tabs>
        <w:ind w:left="3600" w:hanging="360"/>
      </w:pPr>
      <w:rPr>
        <w:rFonts w:cs="Times New Roman"/>
      </w:rPr>
    </w:lvl>
    <w:lvl w:ilvl="5" w:tplc="08169CC2">
      <w:start w:val="1"/>
      <w:numFmt w:val="decimal"/>
      <w:lvlText w:val="%6."/>
      <w:lvlJc w:val="left"/>
      <w:pPr>
        <w:tabs>
          <w:tab w:val="num" w:pos="4320"/>
        </w:tabs>
        <w:ind w:left="4320" w:hanging="360"/>
      </w:pPr>
      <w:rPr>
        <w:rFonts w:cs="Times New Roman"/>
      </w:rPr>
    </w:lvl>
    <w:lvl w:ilvl="6" w:tplc="2BCEDD6C">
      <w:start w:val="1"/>
      <w:numFmt w:val="decimal"/>
      <w:lvlText w:val="%7."/>
      <w:lvlJc w:val="left"/>
      <w:pPr>
        <w:tabs>
          <w:tab w:val="num" w:pos="5040"/>
        </w:tabs>
        <w:ind w:left="5040" w:hanging="360"/>
      </w:pPr>
      <w:rPr>
        <w:rFonts w:cs="Times New Roman"/>
      </w:rPr>
    </w:lvl>
    <w:lvl w:ilvl="7" w:tplc="20EC808C">
      <w:start w:val="1"/>
      <w:numFmt w:val="decimal"/>
      <w:lvlText w:val="%8."/>
      <w:lvlJc w:val="left"/>
      <w:pPr>
        <w:tabs>
          <w:tab w:val="num" w:pos="5760"/>
        </w:tabs>
        <w:ind w:left="5760" w:hanging="360"/>
      </w:pPr>
      <w:rPr>
        <w:rFonts w:cs="Times New Roman"/>
      </w:rPr>
    </w:lvl>
    <w:lvl w:ilvl="8" w:tplc="17B83760">
      <w:start w:val="1"/>
      <w:numFmt w:val="decimal"/>
      <w:lvlText w:val="%9."/>
      <w:lvlJc w:val="left"/>
      <w:pPr>
        <w:tabs>
          <w:tab w:val="num" w:pos="6480"/>
        </w:tabs>
        <w:ind w:left="6480" w:hanging="360"/>
      </w:pPr>
      <w:rPr>
        <w:rFonts w:cs="Times New Roman"/>
      </w:rPr>
    </w:lvl>
  </w:abstractNum>
  <w:abstractNum w:abstractNumId="20">
    <w:nsid w:val="766A0300"/>
    <w:multiLevelType w:val="hybridMultilevel"/>
    <w:tmpl w:val="80F473F4"/>
    <w:lvl w:ilvl="0" w:tplc="43A81B18">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77112519"/>
    <w:multiLevelType w:val="multilevel"/>
    <w:tmpl w:val="96D29B6C"/>
    <w:lvl w:ilvl="0">
      <w:numFmt w:val="bullet"/>
      <w:lvlText w:val=""/>
      <w:lvlJc w:val="left"/>
      <w:pPr>
        <w:ind w:left="360" w:hanging="360"/>
      </w:pPr>
      <w:rPr>
        <w:rFonts w:ascii="Symbol" w:eastAsiaTheme="minorHAnsi" w:hAnsi="Symbol" w:cstheme="minorBidi" w:hint="default"/>
        <w:sz w:val="16"/>
      </w:rPr>
    </w:lvl>
    <w:lvl w:ilvl="1">
      <w:start w:val="1"/>
      <w:numFmt w:val="none"/>
      <w:lvlText w:val="o"/>
      <w:legacy w:legacy="1" w:legacySpace="120" w:legacyIndent="360"/>
      <w:lvlJc w:val="left"/>
      <w:pPr>
        <w:ind w:left="720" w:hanging="360"/>
      </w:pPr>
      <w:rPr>
        <w:rFonts w:ascii="Courier New" w:hAnsi="Courier New" w:cs="Times New Roman"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Times New Roman"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Times New Roman"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num w:numId="1">
    <w:abstractNumId w:val="6"/>
  </w:num>
  <w:num w:numId="2">
    <w:abstractNumId w:val="1"/>
  </w:num>
  <w:num w:numId="3">
    <w:abstractNumId w:val="21"/>
  </w:num>
  <w:num w:numId="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7"/>
  </w:num>
  <w:num w:numId="9">
    <w:abstractNumId w:val="0"/>
  </w:num>
  <w:num w:numId="10">
    <w:abstractNumId w:val="12"/>
  </w:num>
  <w:num w:numId="11">
    <w:abstractNumId w:val="15"/>
  </w:num>
  <w:num w:numId="12">
    <w:abstractNumId w:val="5"/>
  </w:num>
  <w:num w:numId="13">
    <w:abstractNumId w:val="14"/>
  </w:num>
  <w:num w:numId="14">
    <w:abstractNumId w:val="4"/>
  </w:num>
  <w:num w:numId="15">
    <w:abstractNumId w:val="7"/>
  </w:num>
  <w:num w:numId="16">
    <w:abstractNumId w:val="20"/>
  </w:num>
  <w:num w:numId="17">
    <w:abstractNumId w:val="2"/>
  </w:num>
  <w:num w:numId="18">
    <w:abstractNumId w:val="16"/>
  </w:num>
  <w:num w:numId="19">
    <w:abstractNumId w:val="3"/>
  </w:num>
  <w:num w:numId="20">
    <w:abstractNumId w:val="10"/>
  </w:num>
  <w:num w:numId="21">
    <w:abstractNumId w:val="9"/>
  </w:num>
  <w:num w:numId="22">
    <w:abstractNumId w:val="1"/>
  </w:num>
  <w:num w:numId="23">
    <w:abstractNumId w:val="8"/>
  </w:num>
  <w:num w:numId="24">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1EC"/>
    <w:rsid w:val="00031523"/>
    <w:rsid w:val="00077256"/>
    <w:rsid w:val="000D02A5"/>
    <w:rsid w:val="0017014F"/>
    <w:rsid w:val="001811EC"/>
    <w:rsid w:val="002121F5"/>
    <w:rsid w:val="002353AA"/>
    <w:rsid w:val="00235AF1"/>
    <w:rsid w:val="00274DEB"/>
    <w:rsid w:val="003078A1"/>
    <w:rsid w:val="003A7851"/>
    <w:rsid w:val="004053CF"/>
    <w:rsid w:val="00463FD4"/>
    <w:rsid w:val="004643A8"/>
    <w:rsid w:val="004D02D0"/>
    <w:rsid w:val="004E2715"/>
    <w:rsid w:val="005054DA"/>
    <w:rsid w:val="00567263"/>
    <w:rsid w:val="005C4A43"/>
    <w:rsid w:val="0061556B"/>
    <w:rsid w:val="0064026B"/>
    <w:rsid w:val="00641D2E"/>
    <w:rsid w:val="00673CAC"/>
    <w:rsid w:val="006E238F"/>
    <w:rsid w:val="007736B0"/>
    <w:rsid w:val="0080380A"/>
    <w:rsid w:val="0094644D"/>
    <w:rsid w:val="009716D1"/>
    <w:rsid w:val="009D20CD"/>
    <w:rsid w:val="009D4BFF"/>
    <w:rsid w:val="00A04167"/>
    <w:rsid w:val="00A22251"/>
    <w:rsid w:val="00A31ACE"/>
    <w:rsid w:val="00A608DA"/>
    <w:rsid w:val="00B15A43"/>
    <w:rsid w:val="00B27232"/>
    <w:rsid w:val="00B7794D"/>
    <w:rsid w:val="00BA7365"/>
    <w:rsid w:val="00C27228"/>
    <w:rsid w:val="00D76E15"/>
    <w:rsid w:val="00D76F9C"/>
    <w:rsid w:val="00E7008C"/>
    <w:rsid w:val="00E755A1"/>
    <w:rsid w:val="00E765B9"/>
    <w:rsid w:val="00F211F0"/>
    <w:rsid w:val="00FA39F6"/>
    <w:rsid w:val="00FF75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semiHidden="0" w:uiPriority="0" w:unhideWhenUsed="0" w:qFormat="1"/>
    <w:lsdException w:name="heading 7" w:uiPriority="0" w:qFormat="1"/>
    <w:lsdException w:name="heading 8" w:semiHidden="0" w:uiPriority="0" w:unhideWhenUsed="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11"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widowControl w:val="0"/>
      <w:pBdr>
        <w:top w:val="single" w:sz="6" w:space="1" w:color="auto" w:shadow="1"/>
        <w:left w:val="single" w:sz="6" w:space="4" w:color="auto" w:shadow="1"/>
        <w:bottom w:val="single" w:sz="6" w:space="1" w:color="auto" w:shadow="1"/>
        <w:right w:val="single" w:sz="6" w:space="4" w:color="auto" w:shadow="1"/>
      </w:pBdr>
      <w:shd w:val="clear" w:color="auto" w:fill="FFFFFF"/>
      <w:overflowPunct w:val="0"/>
      <w:autoSpaceDE w:val="0"/>
      <w:autoSpaceDN w:val="0"/>
      <w:adjustRightInd w:val="0"/>
      <w:spacing w:after="360"/>
      <w:jc w:val="center"/>
      <w:outlineLvl w:val="0"/>
    </w:pPr>
    <w:rPr>
      <w:rFonts w:ascii="Arial" w:hAnsi="Arial" w:cs="Arial"/>
      <w:b/>
      <w:i/>
      <w:szCs w:val="20"/>
    </w:rPr>
  </w:style>
  <w:style w:type="paragraph" w:styleId="Titolo2">
    <w:name w:val="heading 2"/>
    <w:basedOn w:val="Corpodeltesto2"/>
    <w:next w:val="Normale"/>
    <w:link w:val="Titolo2Carattere"/>
    <w:uiPriority w:val="99"/>
    <w:qFormat/>
    <w:pPr>
      <w:jc w:val="both"/>
      <w:outlineLvl w:val="1"/>
    </w:pPr>
    <w:rPr>
      <w:b/>
      <w:sz w:val="24"/>
      <w:u w:val="single"/>
    </w:rPr>
  </w:style>
  <w:style w:type="paragraph" w:styleId="Titolo3">
    <w:name w:val="heading 3"/>
    <w:basedOn w:val="Titolo2"/>
    <w:next w:val="Normale"/>
    <w:link w:val="Titolo3Carattere"/>
    <w:uiPriority w:val="99"/>
    <w:qFormat/>
    <w:pPr>
      <w:outlineLvl w:val="2"/>
    </w:pPr>
    <w:rPr>
      <w:sz w:val="22"/>
    </w:rPr>
  </w:style>
  <w:style w:type="paragraph" w:styleId="Titolo4">
    <w:name w:val="heading 4"/>
    <w:basedOn w:val="Normale"/>
    <w:next w:val="Normale"/>
    <w:link w:val="Titolo4Carattere"/>
    <w:uiPriority w:val="99"/>
    <w:qFormat/>
    <w:pPr>
      <w:keepNext/>
      <w:spacing w:after="240"/>
      <w:jc w:val="center"/>
      <w:outlineLvl w:val="3"/>
    </w:pPr>
    <w:rPr>
      <w:rFonts w:ascii="Arial" w:hAnsi="Arial" w:cs="Arial"/>
      <w:b/>
      <w:i/>
      <w:sz w:val="36"/>
    </w:rPr>
  </w:style>
  <w:style w:type="paragraph" w:styleId="Titolo6">
    <w:name w:val="heading 6"/>
    <w:basedOn w:val="Normale"/>
    <w:next w:val="Normale"/>
    <w:link w:val="Titolo6Carattere"/>
    <w:uiPriority w:val="99"/>
    <w:qFormat/>
    <w:pPr>
      <w:keepNext/>
      <w:numPr>
        <w:ilvl w:val="12"/>
      </w:numPr>
      <w:jc w:val="both"/>
      <w:outlineLvl w:val="5"/>
    </w:pPr>
    <w:rPr>
      <w:rFonts w:ascii="Arial" w:hAnsi="Arial" w:cs="Arial"/>
      <w:b/>
      <w:u w:val="single"/>
    </w:rPr>
  </w:style>
  <w:style w:type="paragraph" w:styleId="Titolo8">
    <w:name w:val="heading 8"/>
    <w:basedOn w:val="Normale"/>
    <w:next w:val="Normale"/>
    <w:link w:val="Titolo8Carattere"/>
    <w:uiPriority w:val="99"/>
    <w:qFormat/>
    <w:pPr>
      <w:keepNext/>
      <w:widowControl w:val="0"/>
      <w:overflowPunct w:val="0"/>
      <w:autoSpaceDE w:val="0"/>
      <w:autoSpaceDN w:val="0"/>
      <w:adjustRightInd w:val="0"/>
      <w:spacing w:after="120"/>
      <w:jc w:val="both"/>
      <w:outlineLvl w:val="7"/>
    </w:pPr>
    <w:rPr>
      <w:rFonts w:ascii="Arial" w:hAnsi="Arial"/>
      <w:b/>
      <w:szCs w:val="20"/>
    </w:rPr>
  </w:style>
  <w:style w:type="paragraph" w:styleId="Titolo9">
    <w:name w:val="heading 9"/>
    <w:basedOn w:val="Normale"/>
    <w:next w:val="Normale"/>
    <w:link w:val="Titolo9Carattere"/>
    <w:uiPriority w:val="99"/>
    <w:qFormat/>
    <w:pPr>
      <w:keepNext/>
      <w:numPr>
        <w:ilvl w:val="12"/>
      </w:numPr>
      <w:outlineLvl w:val="8"/>
    </w:pPr>
    <w:rPr>
      <w:rFonts w:ascii="Arial" w:hAnsi="Arial" w:cs="Arial"/>
      <w:b/>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Pr>
      <w:rFonts w:ascii="Cambria" w:hAnsi="Cambria" w:cs="Times New Roman"/>
      <w:b/>
      <w:bCs/>
      <w:kern w:val="32"/>
      <w:sz w:val="32"/>
      <w:szCs w:val="32"/>
    </w:rPr>
  </w:style>
  <w:style w:type="character" w:customStyle="1" w:styleId="Titolo2Carattere">
    <w:name w:val="Titolo 2 Carattere"/>
    <w:basedOn w:val="Carpredefinitoparagrafo"/>
    <w:link w:val="Titolo2"/>
    <w:uiPriority w:val="99"/>
    <w:semiHidden/>
    <w:locked/>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locked/>
    <w:rPr>
      <w:rFonts w:ascii="Cambria" w:hAnsi="Cambria" w:cs="Times New Roman"/>
      <w:b/>
      <w:bCs/>
      <w:sz w:val="26"/>
      <w:szCs w:val="26"/>
    </w:rPr>
  </w:style>
  <w:style w:type="character" w:customStyle="1" w:styleId="Titolo4Carattere">
    <w:name w:val="Titolo 4 Carattere"/>
    <w:basedOn w:val="Carpredefinitoparagrafo"/>
    <w:link w:val="Titolo4"/>
    <w:uiPriority w:val="99"/>
    <w:semiHidden/>
    <w:locked/>
    <w:rPr>
      <w:rFonts w:ascii="Calibri" w:hAnsi="Calibri" w:cs="Times New Roman"/>
      <w:b/>
      <w:bCs/>
      <w:sz w:val="28"/>
      <w:szCs w:val="28"/>
    </w:rPr>
  </w:style>
  <w:style w:type="character" w:customStyle="1" w:styleId="Titolo6Carattere">
    <w:name w:val="Titolo 6 Carattere"/>
    <w:basedOn w:val="Carpredefinitoparagrafo"/>
    <w:link w:val="Titolo6"/>
    <w:uiPriority w:val="99"/>
    <w:semiHidden/>
    <w:locked/>
    <w:rPr>
      <w:rFonts w:ascii="Calibri" w:hAnsi="Calibri" w:cs="Times New Roman"/>
      <w:b/>
      <w:bCs/>
    </w:rPr>
  </w:style>
  <w:style w:type="character" w:customStyle="1" w:styleId="Titolo8Carattere">
    <w:name w:val="Titolo 8 Carattere"/>
    <w:basedOn w:val="Carpredefinitoparagrafo"/>
    <w:link w:val="Titolo8"/>
    <w:uiPriority w:val="99"/>
    <w:semiHidden/>
    <w:locked/>
    <w:rPr>
      <w:rFonts w:ascii="Calibri" w:hAnsi="Calibri" w:cs="Times New Roman"/>
      <w:i/>
      <w:iCs/>
      <w:sz w:val="24"/>
      <w:szCs w:val="24"/>
    </w:rPr>
  </w:style>
  <w:style w:type="character" w:customStyle="1" w:styleId="Titolo9Carattere">
    <w:name w:val="Titolo 9 Carattere"/>
    <w:basedOn w:val="Carpredefinitoparagrafo"/>
    <w:link w:val="Titolo9"/>
    <w:uiPriority w:val="99"/>
    <w:semiHidden/>
    <w:locked/>
    <w:rPr>
      <w:rFonts w:ascii="Cambria" w:hAnsi="Cambria" w:cs="Times New Roman"/>
    </w:rPr>
  </w:style>
  <w:style w:type="paragraph" w:styleId="Testonotaapidipagina">
    <w:name w:val="footnote text"/>
    <w:aliases w:val="Testo nota a piè di pagina Carattere,Testo nota a piè di pagina Carattere1 Carattere,Testo nota a piè di pagina Carattere Carattere Carattere,Testo nota a piè di pagina Carattere1 Carattere Carattere Carattere,Carattere"/>
    <w:basedOn w:val="Normale"/>
    <w:link w:val="TestonotaapidipaginaCarattere1"/>
    <w:uiPriority w:val="99"/>
    <w:pPr>
      <w:widowControl w:val="0"/>
      <w:tabs>
        <w:tab w:val="left" w:pos="567"/>
      </w:tabs>
      <w:overflowPunct w:val="0"/>
      <w:autoSpaceDE w:val="0"/>
      <w:autoSpaceDN w:val="0"/>
      <w:adjustRightInd w:val="0"/>
      <w:spacing w:after="120"/>
      <w:ind w:left="567" w:hanging="567"/>
      <w:jc w:val="both"/>
    </w:pPr>
    <w:rPr>
      <w:rFonts w:ascii="Arial" w:hAnsi="Arial"/>
      <w:sz w:val="20"/>
      <w:szCs w:val="20"/>
    </w:rPr>
  </w:style>
  <w:style w:type="character" w:customStyle="1" w:styleId="TestonotaapidipaginaCarattere1">
    <w:name w:val="Testo nota a piè di pagina Carattere1"/>
    <w:aliases w:val="Testo nota a piè di pagina Carattere Carattere,Testo nota a piè di pagina Carattere1 Carattere Carattere,Testo nota a piè di pagina Carattere Carattere Carattere Carattere,Carattere Carattere1"/>
    <w:basedOn w:val="Carpredefinitoparagrafo"/>
    <w:link w:val="Testonotaapidipagina"/>
    <w:uiPriority w:val="99"/>
    <w:locked/>
    <w:rPr>
      <w:rFonts w:ascii="Arial" w:hAnsi="Arial" w:cs="Times New Roman"/>
      <w:lang w:val="it-IT" w:eastAsia="it-IT"/>
    </w:rPr>
  </w:style>
  <w:style w:type="paragraph" w:styleId="Intestazione">
    <w:name w:val="header"/>
    <w:basedOn w:val="Normale"/>
    <w:link w:val="IntestazioneCarattere"/>
    <w:uiPriority w:val="99"/>
    <w:pPr>
      <w:widowControl w:val="0"/>
      <w:tabs>
        <w:tab w:val="center" w:pos="4819"/>
        <w:tab w:val="right" w:pos="9638"/>
      </w:tabs>
      <w:overflowPunct w:val="0"/>
      <w:autoSpaceDE w:val="0"/>
      <w:autoSpaceDN w:val="0"/>
      <w:adjustRightInd w:val="0"/>
      <w:spacing w:after="120"/>
      <w:jc w:val="both"/>
    </w:pPr>
    <w:rPr>
      <w:rFonts w:ascii="Arial" w:hAnsi="Arial"/>
      <w:szCs w:val="20"/>
    </w:rPr>
  </w:style>
  <w:style w:type="character" w:customStyle="1" w:styleId="IntestazioneCarattere">
    <w:name w:val="Intestazione Carattere"/>
    <w:basedOn w:val="Carpredefinitoparagrafo"/>
    <w:link w:val="Intestazione"/>
    <w:uiPriority w:val="99"/>
    <w:semiHidden/>
    <w:locked/>
    <w:rPr>
      <w:rFonts w:cs="Times New Roman"/>
      <w:sz w:val="24"/>
      <w:szCs w:val="24"/>
    </w:rPr>
  </w:style>
  <w:style w:type="paragraph" w:styleId="Pidipagina">
    <w:name w:val="footer"/>
    <w:basedOn w:val="Normale"/>
    <w:link w:val="PidipaginaCarattere"/>
    <w:uiPriority w:val="99"/>
    <w:pPr>
      <w:widowControl w:val="0"/>
      <w:pBdr>
        <w:top w:val="single" w:sz="6" w:space="1" w:color="auto"/>
      </w:pBdr>
      <w:overflowPunct w:val="0"/>
      <w:autoSpaceDE w:val="0"/>
      <w:autoSpaceDN w:val="0"/>
      <w:adjustRightInd w:val="0"/>
      <w:spacing w:after="120"/>
      <w:jc w:val="center"/>
    </w:pPr>
    <w:rPr>
      <w:rFonts w:ascii="Arial" w:hAnsi="Arial"/>
      <w:sz w:val="18"/>
      <w:szCs w:val="20"/>
    </w:rPr>
  </w:style>
  <w:style w:type="character" w:customStyle="1" w:styleId="PidipaginaCarattere">
    <w:name w:val="Piè di pagina Carattere"/>
    <w:basedOn w:val="Carpredefinitoparagrafo"/>
    <w:link w:val="Pidipagina"/>
    <w:uiPriority w:val="99"/>
    <w:semiHidden/>
    <w:locked/>
    <w:rPr>
      <w:rFonts w:cs="Times New Roman"/>
      <w:sz w:val="24"/>
      <w:szCs w:val="24"/>
    </w:rPr>
  </w:style>
  <w:style w:type="paragraph" w:styleId="Titolo">
    <w:name w:val="Title"/>
    <w:basedOn w:val="Normale"/>
    <w:link w:val="TitoloCarattere"/>
    <w:qFormat/>
    <w:pPr>
      <w:spacing w:after="360"/>
      <w:jc w:val="center"/>
    </w:pPr>
    <w:rPr>
      <w:rFonts w:ascii="Arial" w:hAnsi="Arial" w:cs="Arial"/>
      <w:b/>
      <w:i/>
      <w:sz w:val="36"/>
    </w:rPr>
  </w:style>
  <w:style w:type="character" w:customStyle="1" w:styleId="TitoloCarattere">
    <w:name w:val="Titolo Carattere"/>
    <w:basedOn w:val="Carpredefinitoparagrafo"/>
    <w:link w:val="Titolo"/>
    <w:locked/>
    <w:rPr>
      <w:rFonts w:ascii="Cambria" w:hAnsi="Cambria" w:cs="Times New Roman"/>
      <w:b/>
      <w:bCs/>
      <w:kern w:val="28"/>
      <w:sz w:val="32"/>
      <w:szCs w:val="32"/>
    </w:rPr>
  </w:style>
  <w:style w:type="paragraph" w:styleId="Corpotesto">
    <w:name w:val="Body Text"/>
    <w:basedOn w:val="Normale"/>
    <w:link w:val="CorpotestoCarattere"/>
    <w:uiPriority w:val="99"/>
    <w:pPr>
      <w:widowControl w:val="0"/>
      <w:overflowPunct w:val="0"/>
      <w:autoSpaceDE w:val="0"/>
      <w:autoSpaceDN w:val="0"/>
      <w:adjustRightInd w:val="0"/>
      <w:spacing w:after="120"/>
      <w:jc w:val="both"/>
    </w:pPr>
    <w:rPr>
      <w:rFonts w:ascii="Arial" w:hAnsi="Arial"/>
      <w:kern w:val="28"/>
      <w:szCs w:val="20"/>
    </w:rPr>
  </w:style>
  <w:style w:type="character" w:customStyle="1" w:styleId="CorpotestoCarattere">
    <w:name w:val="Corpo testo Carattere"/>
    <w:basedOn w:val="Carpredefinitoparagrafo"/>
    <w:link w:val="Corpotesto"/>
    <w:uiPriority w:val="99"/>
    <w:semiHidden/>
    <w:locked/>
    <w:rPr>
      <w:rFonts w:cs="Times New Roman"/>
      <w:sz w:val="24"/>
      <w:szCs w:val="24"/>
    </w:rPr>
  </w:style>
  <w:style w:type="paragraph" w:styleId="Rientrocorpodeltesto">
    <w:name w:val="Body Text Indent"/>
    <w:basedOn w:val="Normale"/>
    <w:link w:val="RientrocorpodeltestoCarattere"/>
    <w:uiPriority w:val="99"/>
    <w:pPr>
      <w:snapToGrid w:val="0"/>
      <w:spacing w:before="110" w:line="360" w:lineRule="auto"/>
      <w:ind w:firstLine="426"/>
      <w:jc w:val="both"/>
    </w:pPr>
    <w:rPr>
      <w:szCs w:val="20"/>
    </w:rPr>
  </w:style>
  <w:style w:type="character" w:customStyle="1" w:styleId="RientrocorpodeltestoCarattere">
    <w:name w:val="Rientro corpo del testo Carattere"/>
    <w:basedOn w:val="Carpredefinitoparagrafo"/>
    <w:link w:val="Rientrocorpodeltesto"/>
    <w:uiPriority w:val="99"/>
    <w:semiHidden/>
    <w:locked/>
    <w:rPr>
      <w:rFonts w:cs="Times New Roman"/>
      <w:sz w:val="24"/>
      <w:szCs w:val="24"/>
    </w:rPr>
  </w:style>
  <w:style w:type="paragraph" w:styleId="Corpodeltesto2">
    <w:name w:val="Body Text 2"/>
    <w:basedOn w:val="Normale"/>
    <w:link w:val="Corpodeltesto2Carattere"/>
    <w:uiPriority w:val="99"/>
    <w:pPr>
      <w:tabs>
        <w:tab w:val="left" w:pos="426"/>
      </w:tabs>
    </w:pPr>
    <w:rPr>
      <w:rFonts w:ascii="Arial" w:hAnsi="Arial" w:cs="Arial"/>
      <w:sz w:val="22"/>
    </w:rPr>
  </w:style>
  <w:style w:type="character" w:customStyle="1" w:styleId="Corpodeltesto2Carattere">
    <w:name w:val="Corpo del testo 2 Carattere"/>
    <w:basedOn w:val="Carpredefinitoparagrafo"/>
    <w:link w:val="Corpodeltesto2"/>
    <w:uiPriority w:val="99"/>
    <w:semiHidden/>
    <w:locked/>
    <w:rPr>
      <w:rFonts w:cs="Times New Roman"/>
      <w:sz w:val="24"/>
      <w:szCs w:val="24"/>
    </w:rPr>
  </w:style>
  <w:style w:type="paragraph" w:styleId="Corpodeltesto3">
    <w:name w:val="Body Text 3"/>
    <w:basedOn w:val="Normale"/>
    <w:link w:val="Corpodeltesto3Carattere"/>
    <w:uiPriority w:val="99"/>
    <w:pPr>
      <w:widowControl w:val="0"/>
      <w:overflowPunct w:val="0"/>
      <w:autoSpaceDE w:val="0"/>
      <w:autoSpaceDN w:val="0"/>
      <w:adjustRightInd w:val="0"/>
      <w:spacing w:after="120"/>
      <w:jc w:val="both"/>
    </w:pPr>
    <w:rPr>
      <w:rFonts w:ascii="Arial" w:hAnsi="Arial"/>
      <w:sz w:val="18"/>
      <w:szCs w:val="18"/>
    </w:rPr>
  </w:style>
  <w:style w:type="character" w:customStyle="1" w:styleId="Corpodeltesto3Carattere">
    <w:name w:val="Corpo del testo 3 Carattere"/>
    <w:basedOn w:val="Carpredefinitoparagrafo"/>
    <w:link w:val="Corpodeltesto3"/>
    <w:uiPriority w:val="99"/>
    <w:semiHidden/>
    <w:locked/>
    <w:rPr>
      <w:rFonts w:cs="Times New Roman"/>
      <w:sz w:val="16"/>
      <w:szCs w:val="16"/>
    </w:rPr>
  </w:style>
  <w:style w:type="paragraph" w:styleId="Rientrocorpodeltesto2">
    <w:name w:val="Body Text Indent 2"/>
    <w:basedOn w:val="Normale"/>
    <w:link w:val="Rientrocorpodeltesto2Carattere"/>
    <w:uiPriority w:val="99"/>
    <w:pPr>
      <w:spacing w:line="360" w:lineRule="auto"/>
      <w:ind w:left="360"/>
    </w:pPr>
    <w:rPr>
      <w:rFonts w:ascii="Arial" w:hAnsi="Arial" w:cs="Arial"/>
      <w:sz w:val="22"/>
      <w:szCs w:val="18"/>
    </w:rPr>
  </w:style>
  <w:style w:type="character" w:customStyle="1" w:styleId="Rientrocorpodeltesto2Carattere">
    <w:name w:val="Rientro corpo del testo 2 Carattere"/>
    <w:basedOn w:val="Carpredefinitoparagrafo"/>
    <w:link w:val="Rientrocorpodeltesto2"/>
    <w:uiPriority w:val="99"/>
    <w:semiHidden/>
    <w:locked/>
    <w:rPr>
      <w:rFonts w:cs="Times New Roman"/>
      <w:sz w:val="24"/>
      <w:szCs w:val="24"/>
    </w:rPr>
  </w:style>
  <w:style w:type="paragraph" w:customStyle="1" w:styleId="CPVC">
    <w:name w:val="CPV_C"/>
    <w:uiPriority w:val="99"/>
    <w:pPr>
      <w:widowControl w:val="0"/>
      <w:tabs>
        <w:tab w:val="left" w:pos="0"/>
        <w:tab w:val="left" w:pos="1247"/>
        <w:tab w:val="left" w:pos="3969"/>
        <w:tab w:val="left" w:pos="4252"/>
        <w:tab w:val="left" w:pos="11339"/>
        <w:tab w:val="left" w:pos="28346"/>
      </w:tabs>
      <w:autoSpaceDE w:val="0"/>
      <w:autoSpaceDN w:val="0"/>
      <w:adjustRightInd w:val="0"/>
      <w:spacing w:before="260" w:after="85" w:line="25" w:lineRule="atLeast"/>
      <w:jc w:val="center"/>
    </w:pPr>
    <w:rPr>
      <w:rFonts w:ascii="ItcCenturyLight" w:hAnsi="ItcCenturyLight" w:cs="ItcCenturyLight"/>
      <w:sz w:val="20"/>
      <w:szCs w:val="20"/>
    </w:rPr>
  </w:style>
  <w:style w:type="paragraph" w:customStyle="1" w:styleId="CPVCcvo">
    <w:name w:val="CPV_Ccvo"/>
    <w:uiPriority w:val="99"/>
    <w:pPr>
      <w:widowControl w:val="0"/>
      <w:tabs>
        <w:tab w:val="left" w:pos="0"/>
        <w:tab w:val="left" w:pos="1247"/>
        <w:tab w:val="left" w:pos="3969"/>
        <w:tab w:val="left" w:pos="4252"/>
        <w:tab w:val="left" w:pos="11339"/>
        <w:tab w:val="left" w:pos="28346"/>
      </w:tabs>
      <w:autoSpaceDE w:val="0"/>
      <w:autoSpaceDN w:val="0"/>
      <w:adjustRightInd w:val="0"/>
      <w:spacing w:before="260" w:after="85" w:line="25" w:lineRule="atLeast"/>
      <w:jc w:val="center"/>
    </w:pPr>
    <w:rPr>
      <w:rFonts w:ascii="ItcCenturyLight" w:hAnsi="ItcCenturyLight" w:cs="ItcCenturyLight"/>
      <w:i/>
      <w:iCs/>
      <w:sz w:val="20"/>
      <w:szCs w:val="20"/>
    </w:rPr>
  </w:style>
  <w:style w:type="paragraph" w:customStyle="1" w:styleId="LIV2">
    <w:name w:val="LIV2"/>
    <w:uiPriority w:val="99"/>
    <w:pPr>
      <w:widowControl w:val="0"/>
      <w:tabs>
        <w:tab w:val="left" w:pos="0"/>
        <w:tab w:val="left" w:pos="1418"/>
        <w:tab w:val="left" w:pos="2835"/>
        <w:tab w:val="left" w:pos="4252"/>
      </w:tabs>
      <w:autoSpaceDE w:val="0"/>
      <w:autoSpaceDN w:val="0"/>
      <w:adjustRightInd w:val="0"/>
      <w:spacing w:before="444" w:after="171" w:line="12" w:lineRule="atLeast"/>
      <w:jc w:val="both"/>
    </w:pPr>
    <w:rPr>
      <w:rFonts w:ascii="UniversExBlkExt" w:hAnsi="UniversExBlkExt" w:cs="UniversExBlkExt"/>
      <w:b/>
      <w:bCs/>
      <w:sz w:val="16"/>
      <w:szCs w:val="16"/>
    </w:rPr>
  </w:style>
  <w:style w:type="paragraph" w:customStyle="1" w:styleId="cpv">
    <w:name w:val="cpv"/>
    <w:uiPriority w:val="99"/>
    <w:pPr>
      <w:widowControl w:val="0"/>
      <w:tabs>
        <w:tab w:val="left" w:pos="0"/>
        <w:tab w:val="left" w:pos="1418"/>
        <w:tab w:val="left" w:pos="2835"/>
        <w:tab w:val="left" w:pos="4252"/>
      </w:tabs>
      <w:autoSpaceDE w:val="0"/>
      <w:autoSpaceDN w:val="0"/>
      <w:adjustRightInd w:val="0"/>
      <w:spacing w:before="175" w:line="25" w:lineRule="atLeast"/>
      <w:jc w:val="both"/>
    </w:pPr>
    <w:rPr>
      <w:rFonts w:ascii="ItcCenturyLight" w:hAnsi="ItcCenturyLight" w:cs="ItcCenturyLight"/>
      <w:sz w:val="20"/>
      <w:szCs w:val="20"/>
    </w:rPr>
  </w:style>
  <w:style w:type="paragraph" w:customStyle="1" w:styleId="liv1unita">
    <w:name w:val="liv1_unita"/>
    <w:uiPriority w:val="99"/>
    <w:pPr>
      <w:widowControl w:val="0"/>
      <w:tabs>
        <w:tab w:val="left" w:pos="469"/>
        <w:tab w:val="left" w:pos="1887"/>
        <w:tab w:val="left" w:pos="3304"/>
        <w:tab w:val="left" w:pos="4721"/>
      </w:tabs>
      <w:autoSpaceDE w:val="0"/>
      <w:autoSpaceDN w:val="0"/>
      <w:adjustRightInd w:val="0"/>
      <w:spacing w:before="489" w:after="85" w:line="12" w:lineRule="atLeast"/>
      <w:ind w:left="469" w:hanging="469"/>
      <w:jc w:val="both"/>
    </w:pPr>
    <w:rPr>
      <w:rFonts w:ascii="UniversExBlkExt" w:hAnsi="UniversExBlkExt" w:cs="UniversExBlkExt"/>
      <w:b/>
      <w:bCs/>
      <w:sz w:val="16"/>
      <w:szCs w:val="16"/>
    </w:rPr>
  </w:style>
  <w:style w:type="paragraph" w:customStyle="1" w:styleId="sottocpv1">
    <w:name w:val="sottocpv1"/>
    <w:uiPriority w:val="99"/>
    <w:pPr>
      <w:widowControl w:val="0"/>
      <w:tabs>
        <w:tab w:val="left" w:pos="341"/>
        <w:tab w:val="left" w:pos="1759"/>
        <w:tab w:val="left" w:pos="3176"/>
        <w:tab w:val="left" w:pos="4593"/>
      </w:tabs>
      <w:autoSpaceDE w:val="0"/>
      <w:autoSpaceDN w:val="0"/>
      <w:adjustRightInd w:val="0"/>
      <w:spacing w:before="175" w:line="25" w:lineRule="atLeast"/>
      <w:ind w:left="341" w:hanging="341"/>
      <w:jc w:val="both"/>
    </w:pPr>
    <w:rPr>
      <w:rFonts w:ascii="ItcCenturyLight" w:hAnsi="ItcCenturyLight" w:cs="ItcCenturyLight"/>
      <w:sz w:val="20"/>
      <w:szCs w:val="20"/>
    </w:rPr>
  </w:style>
  <w:style w:type="paragraph" w:customStyle="1" w:styleId="Corpodeltesto21">
    <w:name w:val="Corpo del testo 21"/>
    <w:basedOn w:val="Normale"/>
    <w:uiPriority w:val="99"/>
    <w:pPr>
      <w:widowControl w:val="0"/>
      <w:overflowPunct w:val="0"/>
      <w:autoSpaceDE w:val="0"/>
      <w:autoSpaceDN w:val="0"/>
      <w:adjustRightInd w:val="0"/>
      <w:spacing w:after="120"/>
      <w:jc w:val="both"/>
    </w:pPr>
    <w:rPr>
      <w:rFonts w:ascii="Arial" w:hAnsi="Arial"/>
      <w:b/>
      <w:i/>
      <w:szCs w:val="20"/>
    </w:rPr>
  </w:style>
  <w:style w:type="paragraph" w:customStyle="1" w:styleId="tabella">
    <w:name w:val="tabella"/>
    <w:basedOn w:val="Titolo3"/>
    <w:pPr>
      <w:keepNext/>
    </w:pPr>
    <w:rPr>
      <w:b w:val="0"/>
      <w:i/>
      <w:sz w:val="18"/>
      <w:szCs w:val="18"/>
    </w:rPr>
  </w:style>
  <w:style w:type="paragraph" w:customStyle="1" w:styleId="tit2-circ">
    <w:name w:val="tit2-circ"/>
    <w:basedOn w:val="Normale"/>
    <w:uiPriority w:val="99"/>
    <w:pPr>
      <w:keepNext/>
      <w:spacing w:before="360" w:after="100"/>
      <w:ind w:right="108"/>
      <w:jc w:val="both"/>
    </w:pPr>
    <w:rPr>
      <w:rFonts w:ascii="Futura" w:hAnsi="Futura"/>
      <w:b/>
      <w:caps/>
      <w:sz w:val="20"/>
      <w:szCs w:val="20"/>
    </w:rPr>
  </w:style>
  <w:style w:type="character" w:styleId="Rimandonotaapidipagina">
    <w:name w:val="footnote reference"/>
    <w:basedOn w:val="Carpredefinitoparagrafo"/>
    <w:uiPriority w:val="99"/>
    <w:rPr>
      <w:rFonts w:cs="Times New Roman"/>
      <w:vertAlign w:val="superscript"/>
    </w:rPr>
  </w:style>
  <w:style w:type="paragraph" w:styleId="Mappadocumento">
    <w:name w:val="Document Map"/>
    <w:basedOn w:val="Normale"/>
    <w:link w:val="MappadocumentoCarattere"/>
    <w:uiPriority w:val="99"/>
    <w:semiHidden/>
    <w:pPr>
      <w:shd w:val="clear" w:color="auto" w:fill="000080"/>
    </w:pPr>
    <w:rPr>
      <w:rFonts w:ascii="Tahoma" w:hAnsi="Tahoma" w:cs="Tahoma"/>
      <w:sz w:val="20"/>
      <w:szCs w:val="20"/>
    </w:rPr>
  </w:style>
  <w:style w:type="character" w:customStyle="1" w:styleId="MappadocumentoCarattere">
    <w:name w:val="Mappa documento Carattere"/>
    <w:basedOn w:val="Carpredefinitoparagrafo"/>
    <w:link w:val="Mappadocumento"/>
    <w:uiPriority w:val="99"/>
    <w:semiHidden/>
    <w:locked/>
    <w:rPr>
      <w:rFonts w:cs="Times New Roman"/>
      <w:sz w:val="2"/>
    </w:rPr>
  </w:style>
  <w:style w:type="paragraph" w:styleId="Testofumetto">
    <w:name w:val="Balloon Text"/>
    <w:basedOn w:val="Normale"/>
    <w:link w:val="TestofumettoCarattere"/>
    <w:uiPriority w:val="99"/>
    <w:semiHidden/>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cs="Times New Roman"/>
      <w:sz w:val="2"/>
    </w:rPr>
  </w:style>
  <w:style w:type="character" w:customStyle="1" w:styleId="CarattereCarattere">
    <w:name w:val="Carattere Carattere"/>
    <w:uiPriority w:val="99"/>
    <w:rPr>
      <w:rFonts w:ascii="Arial" w:hAnsi="Arial"/>
      <w:kern w:val="28"/>
      <w:sz w:val="24"/>
    </w:rPr>
  </w:style>
  <w:style w:type="character" w:styleId="Numeropagina">
    <w:name w:val="page number"/>
    <w:basedOn w:val="Carpredefinitoparagrafo"/>
    <w:uiPriority w:val="99"/>
    <w:rPr>
      <w:rFonts w:cs="Times New Roman"/>
    </w:rPr>
  </w:style>
  <w:style w:type="character" w:styleId="Rimandocommento">
    <w:name w:val="annotation reference"/>
    <w:basedOn w:val="Carpredefinitoparagrafo"/>
    <w:uiPriority w:val="99"/>
    <w:semiHidden/>
    <w:rPr>
      <w:rFonts w:cs="Times New Roman"/>
      <w:sz w:val="16"/>
    </w:rPr>
  </w:style>
  <w:style w:type="paragraph" w:styleId="Testocommento">
    <w:name w:val="annotation text"/>
    <w:basedOn w:val="Normale"/>
    <w:link w:val="TestocommentoCarattere"/>
    <w:uiPriority w:val="99"/>
    <w:semiHidden/>
    <w:rPr>
      <w:sz w:val="20"/>
      <w:szCs w:val="20"/>
    </w:rPr>
  </w:style>
  <w:style w:type="character" w:customStyle="1" w:styleId="TestocommentoCarattere">
    <w:name w:val="Testo commento Carattere"/>
    <w:basedOn w:val="Carpredefinitoparagrafo"/>
    <w:link w:val="Testocommento"/>
    <w:uiPriority w:val="99"/>
    <w:semiHidden/>
    <w:locked/>
    <w:rPr>
      <w:rFonts w:cs="Times New Roman"/>
      <w:sz w:val="20"/>
      <w:szCs w:val="20"/>
    </w:rPr>
  </w:style>
  <w:style w:type="paragraph" w:styleId="Soggettocommento">
    <w:name w:val="annotation subject"/>
    <w:basedOn w:val="Testocommento"/>
    <w:next w:val="Testocommento"/>
    <w:link w:val="SoggettocommentoCarattere"/>
    <w:uiPriority w:val="99"/>
    <w:semiHidden/>
    <w:rPr>
      <w:b/>
      <w:bCs/>
    </w:rPr>
  </w:style>
  <w:style w:type="character" w:customStyle="1" w:styleId="SoggettocommentoCarattere">
    <w:name w:val="Soggetto commento Carattere"/>
    <w:basedOn w:val="TestocommentoCarattere"/>
    <w:link w:val="Soggettocommento"/>
    <w:uiPriority w:val="99"/>
    <w:semiHidden/>
    <w:locked/>
    <w:rPr>
      <w:rFonts w:cs="Times New Roman"/>
      <w:b/>
      <w:bCs/>
      <w:sz w:val="20"/>
      <w:szCs w:val="20"/>
    </w:rPr>
  </w:style>
  <w:style w:type="paragraph" w:customStyle="1" w:styleId="Paragrafoelenco1">
    <w:name w:val="Paragrafo elenco1"/>
    <w:basedOn w:val="Normale"/>
    <w:uiPriority w:val="99"/>
    <w:pPr>
      <w:spacing w:after="200" w:line="276" w:lineRule="auto"/>
      <w:ind w:left="720"/>
      <w:contextualSpacing/>
    </w:pPr>
    <w:rPr>
      <w:rFonts w:ascii="Calibri" w:hAnsi="Calibri"/>
      <w:sz w:val="22"/>
      <w:szCs w:val="22"/>
      <w:lang w:eastAsia="en-US"/>
    </w:rPr>
  </w:style>
  <w:style w:type="paragraph" w:styleId="NormaleWeb">
    <w:name w:val="Normal (Web)"/>
    <w:basedOn w:val="Normale"/>
    <w:uiPriority w:val="99"/>
    <w:pPr>
      <w:spacing w:before="100" w:beforeAutospacing="1" w:after="100" w:afterAutospacing="1"/>
    </w:pPr>
  </w:style>
  <w:style w:type="character" w:styleId="Enfasicorsivo">
    <w:name w:val="Emphasis"/>
    <w:basedOn w:val="Carpredefinitoparagrafo"/>
    <w:uiPriority w:val="99"/>
    <w:qFormat/>
    <w:rPr>
      <w:rFonts w:cs="Times New Roman"/>
      <w:i/>
    </w:rPr>
  </w:style>
  <w:style w:type="character" w:styleId="Collegamentoipertestuale">
    <w:name w:val="Hyperlink"/>
    <w:basedOn w:val="Carpredefinitoparagrafo"/>
    <w:uiPriority w:val="99"/>
    <w:rPr>
      <w:rFonts w:cs="Times New Roman"/>
      <w:color w:val="0000FF"/>
      <w:u w:val="single"/>
    </w:rPr>
  </w:style>
  <w:style w:type="character" w:styleId="Collegamentovisitato">
    <w:name w:val="FollowedHyperlink"/>
    <w:basedOn w:val="Carpredefinitoparagrafo"/>
    <w:uiPriority w:val="99"/>
    <w:rPr>
      <w:rFonts w:cs="Times New Roman"/>
      <w:color w:val="800080"/>
      <w:u w:val="single"/>
    </w:rPr>
  </w:style>
  <w:style w:type="table" w:styleId="Grigliatabella">
    <w:name w:val="Table Grid"/>
    <w:basedOn w:val="Tabellanormale"/>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e"/>
    <w:uiPriority w:val="99"/>
    <w:pPr>
      <w:widowControl w:val="0"/>
      <w:autoSpaceDE w:val="0"/>
      <w:autoSpaceDN w:val="0"/>
      <w:adjustRightInd w:val="0"/>
    </w:pPr>
    <w:rPr>
      <w:rFonts w:ascii="Thorndale AMT" w:hAnsi="Thorndale AMT" w:cs="Albany AMT"/>
    </w:rPr>
  </w:style>
  <w:style w:type="character" w:customStyle="1" w:styleId="linkneltesto">
    <w:name w:val="link_nel_testo"/>
    <w:rPr>
      <w:i/>
    </w:rPr>
  </w:style>
  <w:style w:type="paragraph" w:customStyle="1" w:styleId="provvr0">
    <w:name w:val="provv_r0"/>
    <w:basedOn w:val="Normale"/>
    <w:pPr>
      <w:spacing w:before="100" w:beforeAutospacing="1" w:after="100" w:afterAutospacing="1"/>
      <w:jc w:val="both"/>
    </w:pPr>
  </w:style>
  <w:style w:type="character" w:customStyle="1" w:styleId="provvnumcomma">
    <w:name w:val="provv_numcomma"/>
    <w:basedOn w:val="Carpredefinitoparagrafo"/>
    <w:rPr>
      <w:rFonts w:cs="Times New Roman"/>
    </w:rPr>
  </w:style>
  <w:style w:type="character" w:styleId="Enfasigrassetto">
    <w:name w:val="Strong"/>
    <w:basedOn w:val="Carpredefinitoparagrafo"/>
    <w:uiPriority w:val="99"/>
    <w:qFormat/>
    <w:rPr>
      <w:rFonts w:cs="Times New Roman"/>
      <w:b/>
    </w:rPr>
  </w:style>
  <w:style w:type="paragraph" w:customStyle="1" w:styleId="Default">
    <w:name w:val="Default"/>
    <w:uiPriority w:val="99"/>
    <w:pPr>
      <w:widowControl w:val="0"/>
      <w:suppressAutoHyphens/>
    </w:pPr>
    <w:rPr>
      <w:kern w:val="1"/>
      <w:lang w:eastAsia="ar-SA"/>
    </w:rPr>
  </w:style>
  <w:style w:type="paragraph" w:styleId="Sommario1">
    <w:name w:val="toc 1"/>
    <w:basedOn w:val="Normale"/>
    <w:next w:val="Normale"/>
    <w:autoRedefine/>
    <w:uiPriority w:val="39"/>
    <w:qFormat/>
  </w:style>
  <w:style w:type="paragraph" w:styleId="Sommario2">
    <w:name w:val="toc 2"/>
    <w:basedOn w:val="Normale"/>
    <w:next w:val="Normale"/>
    <w:autoRedefine/>
    <w:uiPriority w:val="39"/>
    <w:qFormat/>
    <w:pPr>
      <w:ind w:left="240"/>
    </w:pPr>
  </w:style>
  <w:style w:type="paragraph" w:styleId="Indice1">
    <w:name w:val="index 1"/>
    <w:basedOn w:val="Normale"/>
    <w:next w:val="Normale"/>
    <w:autoRedefine/>
    <w:uiPriority w:val="99"/>
    <w:pPr>
      <w:ind w:left="240" w:hanging="240"/>
    </w:pPr>
  </w:style>
  <w:style w:type="paragraph" w:styleId="Indice2">
    <w:name w:val="index 2"/>
    <w:basedOn w:val="Normale"/>
    <w:next w:val="Normale"/>
    <w:autoRedefine/>
    <w:uiPriority w:val="99"/>
    <w:pPr>
      <w:ind w:left="480" w:hanging="240"/>
    </w:pPr>
  </w:style>
  <w:style w:type="character" w:customStyle="1" w:styleId="apple-converted-space">
    <w:name w:val="apple-converted-space"/>
    <w:basedOn w:val="Carpredefinitoparagrafo"/>
    <w:rPr>
      <w:rFonts w:cs="Times New Roman"/>
    </w:rPr>
  </w:style>
  <w:style w:type="paragraph" w:styleId="PreformattatoHTML">
    <w:name w:val="HTML Preformatted"/>
    <w:basedOn w:val="Normale"/>
    <w:link w:val="PreformattatoHTMLCarattere"/>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locked/>
    <w:rPr>
      <w:rFonts w:ascii="Courier New" w:hAnsi="Courier New" w:cs="Courier New"/>
      <w:sz w:val="20"/>
      <w:szCs w:val="20"/>
    </w:rPr>
  </w:style>
  <w:style w:type="paragraph" w:styleId="Didascalia">
    <w:name w:val="caption"/>
    <w:basedOn w:val="Normale"/>
    <w:next w:val="Normale"/>
    <w:uiPriority w:val="99"/>
    <w:qFormat/>
    <w:rPr>
      <w:b/>
      <w:bCs/>
      <w:sz w:val="20"/>
      <w:szCs w:val="20"/>
    </w:rPr>
  </w:style>
  <w:style w:type="character" w:customStyle="1" w:styleId="navilast">
    <w:name w:val="navi_last"/>
    <w:basedOn w:val="Carpredefinitoparagrafo"/>
    <w:uiPriority w:val="99"/>
    <w:rPr>
      <w:rFonts w:cs="Times New Roman"/>
    </w:rPr>
  </w:style>
  <w:style w:type="character" w:customStyle="1" w:styleId="lilinkmenulista">
    <w:name w:val="lilinkmenulista"/>
    <w:uiPriority w:val="99"/>
  </w:style>
  <w:style w:type="paragraph" w:styleId="Revisione">
    <w:name w:val="Revision"/>
    <w:hidden/>
    <w:uiPriority w:val="99"/>
    <w:semiHidden/>
    <w:rPr>
      <w:sz w:val="24"/>
      <w:szCs w:val="24"/>
    </w:rPr>
  </w:style>
  <w:style w:type="paragraph" w:customStyle="1" w:styleId="Paragrafoelenco4">
    <w:name w:val="Paragrafo elenco4"/>
    <w:basedOn w:val="Normale"/>
    <w:uiPriority w:val="99"/>
    <w:pPr>
      <w:ind w:left="720"/>
      <w:contextualSpacing/>
      <w:jc w:val="both"/>
    </w:pPr>
  </w:style>
  <w:style w:type="paragraph" w:styleId="Paragrafoelenco">
    <w:name w:val="List Paragraph"/>
    <w:basedOn w:val="Normale"/>
    <w:uiPriority w:val="34"/>
    <w:qFormat/>
    <w:pPr>
      <w:ind w:left="720"/>
      <w:contextualSpacing/>
    </w:pPr>
  </w:style>
  <w:style w:type="paragraph" w:customStyle="1" w:styleId="BodyText21">
    <w:name w:val="Body Text 21"/>
    <w:basedOn w:val="Normale"/>
    <w:uiPriority w:val="99"/>
    <w:pPr>
      <w:widowControl w:val="0"/>
      <w:overflowPunct w:val="0"/>
      <w:autoSpaceDE w:val="0"/>
      <w:autoSpaceDN w:val="0"/>
      <w:adjustRightInd w:val="0"/>
      <w:spacing w:after="120"/>
      <w:jc w:val="both"/>
    </w:pPr>
    <w:rPr>
      <w:rFonts w:ascii="Arial" w:hAnsi="Arial"/>
      <w:b/>
      <w:i/>
      <w:szCs w:val="20"/>
    </w:rPr>
  </w:style>
  <w:style w:type="character" w:customStyle="1" w:styleId="provvrubrica">
    <w:name w:val="provv_rubrica"/>
    <w:basedOn w:val="Carpredefinitoparagrafo"/>
    <w:uiPriority w:val="99"/>
    <w:rPr>
      <w:rFonts w:cs="Times New Roman"/>
    </w:rPr>
  </w:style>
  <w:style w:type="paragraph" w:styleId="Sottotitolo">
    <w:name w:val="Subtitle"/>
    <w:basedOn w:val="Normale"/>
    <w:next w:val="Normale"/>
    <w:link w:val="SottotitoloCarattere"/>
    <w:uiPriority w:val="11"/>
    <w:qFormat/>
    <w:pPr>
      <w:spacing w:after="60"/>
      <w:jc w:val="center"/>
      <w:outlineLvl w:val="1"/>
    </w:pPr>
    <w:rPr>
      <w:rFonts w:asciiTheme="majorHAnsi" w:eastAsiaTheme="majorEastAsia" w:hAnsiTheme="majorHAnsi" w:cstheme="majorBidi"/>
    </w:rPr>
  </w:style>
  <w:style w:type="character" w:customStyle="1" w:styleId="SottotitoloCarattere">
    <w:name w:val="Sottotitolo Carattere"/>
    <w:basedOn w:val="Carpredefinitoparagrafo"/>
    <w:link w:val="Sottotitolo"/>
    <w:uiPriority w:val="11"/>
    <w:rPr>
      <w:rFonts w:asciiTheme="majorHAnsi" w:eastAsiaTheme="majorEastAsia" w:hAnsiTheme="majorHAnsi" w:cstheme="majorBidi"/>
      <w:sz w:val="24"/>
      <w:szCs w:val="24"/>
    </w:rPr>
  </w:style>
  <w:style w:type="character" w:styleId="Titolodellibro">
    <w:name w:val="Book Title"/>
    <w:basedOn w:val="Carpredefinitoparagrafo"/>
    <w:uiPriority w:val="33"/>
    <w:qFormat/>
    <w:rPr>
      <w:b/>
      <w:bCs/>
      <w:smallCaps/>
      <w:spacing w:val="5"/>
    </w:rPr>
  </w:style>
  <w:style w:type="paragraph" w:styleId="Titolosommario">
    <w:name w:val="TOC Heading"/>
    <w:basedOn w:val="Titolo1"/>
    <w:next w:val="Normale"/>
    <w:uiPriority w:val="39"/>
    <w:semiHidden/>
    <w:unhideWhenUsed/>
    <w:qFormat/>
    <w:pPr>
      <w:keepNext/>
      <w:keepLines/>
      <w:widowControl/>
      <w:pBdr>
        <w:top w:val="none" w:sz="0" w:space="0" w:color="auto"/>
        <w:left w:val="none" w:sz="0" w:space="0" w:color="auto"/>
        <w:bottom w:val="none" w:sz="0" w:space="0" w:color="auto"/>
        <w:right w:val="none" w:sz="0" w:space="0" w:color="auto"/>
      </w:pBdr>
      <w:shd w:val="clear" w:color="auto" w:fill="auto"/>
      <w:overflowPunct/>
      <w:autoSpaceDE/>
      <w:autoSpaceDN/>
      <w:adjustRightInd/>
      <w:spacing w:before="480" w:after="0" w:line="276" w:lineRule="auto"/>
      <w:jc w:val="left"/>
      <w:outlineLvl w:val="9"/>
    </w:pPr>
    <w:rPr>
      <w:rFonts w:asciiTheme="majorHAnsi" w:eastAsiaTheme="majorEastAsia" w:hAnsiTheme="majorHAnsi" w:cstheme="majorBidi"/>
      <w:bCs/>
      <w:i w:val="0"/>
      <w:color w:val="365F91" w:themeColor="accent1" w:themeShade="BF"/>
      <w:sz w:val="28"/>
      <w:szCs w:val="28"/>
    </w:rPr>
  </w:style>
  <w:style w:type="paragraph" w:styleId="Sommario3">
    <w:name w:val="toc 3"/>
    <w:basedOn w:val="Normale"/>
    <w:next w:val="Normale"/>
    <w:autoRedefine/>
    <w:uiPriority w:val="39"/>
    <w:qFormat/>
    <w:pPr>
      <w:spacing w:after="100"/>
      <w:ind w:left="480"/>
    </w:pPr>
  </w:style>
  <w:style w:type="paragraph" w:customStyle="1" w:styleId="m-6350291795918196642gmail-msolistparagraph">
    <w:name w:val="m_-6350291795918196642gmail-msolistparagraph"/>
    <w:basedOn w:val="Normale"/>
    <w:pPr>
      <w:spacing w:before="100" w:beforeAutospacing="1" w:after="100" w:afterAutospacing="1"/>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semiHidden="0" w:uiPriority="0" w:unhideWhenUsed="0" w:qFormat="1"/>
    <w:lsdException w:name="heading 7" w:uiPriority="0" w:qFormat="1"/>
    <w:lsdException w:name="heading 8" w:semiHidden="0" w:uiPriority="0" w:unhideWhenUsed="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11"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widowControl w:val="0"/>
      <w:pBdr>
        <w:top w:val="single" w:sz="6" w:space="1" w:color="auto" w:shadow="1"/>
        <w:left w:val="single" w:sz="6" w:space="4" w:color="auto" w:shadow="1"/>
        <w:bottom w:val="single" w:sz="6" w:space="1" w:color="auto" w:shadow="1"/>
        <w:right w:val="single" w:sz="6" w:space="4" w:color="auto" w:shadow="1"/>
      </w:pBdr>
      <w:shd w:val="clear" w:color="auto" w:fill="FFFFFF"/>
      <w:overflowPunct w:val="0"/>
      <w:autoSpaceDE w:val="0"/>
      <w:autoSpaceDN w:val="0"/>
      <w:adjustRightInd w:val="0"/>
      <w:spacing w:after="360"/>
      <w:jc w:val="center"/>
      <w:outlineLvl w:val="0"/>
    </w:pPr>
    <w:rPr>
      <w:rFonts w:ascii="Arial" w:hAnsi="Arial" w:cs="Arial"/>
      <w:b/>
      <w:i/>
      <w:szCs w:val="20"/>
    </w:rPr>
  </w:style>
  <w:style w:type="paragraph" w:styleId="Titolo2">
    <w:name w:val="heading 2"/>
    <w:basedOn w:val="Corpodeltesto2"/>
    <w:next w:val="Normale"/>
    <w:link w:val="Titolo2Carattere"/>
    <w:uiPriority w:val="99"/>
    <w:qFormat/>
    <w:pPr>
      <w:jc w:val="both"/>
      <w:outlineLvl w:val="1"/>
    </w:pPr>
    <w:rPr>
      <w:b/>
      <w:sz w:val="24"/>
      <w:u w:val="single"/>
    </w:rPr>
  </w:style>
  <w:style w:type="paragraph" w:styleId="Titolo3">
    <w:name w:val="heading 3"/>
    <w:basedOn w:val="Titolo2"/>
    <w:next w:val="Normale"/>
    <w:link w:val="Titolo3Carattere"/>
    <w:uiPriority w:val="99"/>
    <w:qFormat/>
    <w:pPr>
      <w:outlineLvl w:val="2"/>
    </w:pPr>
    <w:rPr>
      <w:sz w:val="22"/>
    </w:rPr>
  </w:style>
  <w:style w:type="paragraph" w:styleId="Titolo4">
    <w:name w:val="heading 4"/>
    <w:basedOn w:val="Normale"/>
    <w:next w:val="Normale"/>
    <w:link w:val="Titolo4Carattere"/>
    <w:uiPriority w:val="99"/>
    <w:qFormat/>
    <w:pPr>
      <w:keepNext/>
      <w:spacing w:after="240"/>
      <w:jc w:val="center"/>
      <w:outlineLvl w:val="3"/>
    </w:pPr>
    <w:rPr>
      <w:rFonts w:ascii="Arial" w:hAnsi="Arial" w:cs="Arial"/>
      <w:b/>
      <w:i/>
      <w:sz w:val="36"/>
    </w:rPr>
  </w:style>
  <w:style w:type="paragraph" w:styleId="Titolo6">
    <w:name w:val="heading 6"/>
    <w:basedOn w:val="Normale"/>
    <w:next w:val="Normale"/>
    <w:link w:val="Titolo6Carattere"/>
    <w:uiPriority w:val="99"/>
    <w:qFormat/>
    <w:pPr>
      <w:keepNext/>
      <w:numPr>
        <w:ilvl w:val="12"/>
      </w:numPr>
      <w:jc w:val="both"/>
      <w:outlineLvl w:val="5"/>
    </w:pPr>
    <w:rPr>
      <w:rFonts w:ascii="Arial" w:hAnsi="Arial" w:cs="Arial"/>
      <w:b/>
      <w:u w:val="single"/>
    </w:rPr>
  </w:style>
  <w:style w:type="paragraph" w:styleId="Titolo8">
    <w:name w:val="heading 8"/>
    <w:basedOn w:val="Normale"/>
    <w:next w:val="Normale"/>
    <w:link w:val="Titolo8Carattere"/>
    <w:uiPriority w:val="99"/>
    <w:qFormat/>
    <w:pPr>
      <w:keepNext/>
      <w:widowControl w:val="0"/>
      <w:overflowPunct w:val="0"/>
      <w:autoSpaceDE w:val="0"/>
      <w:autoSpaceDN w:val="0"/>
      <w:adjustRightInd w:val="0"/>
      <w:spacing w:after="120"/>
      <w:jc w:val="both"/>
      <w:outlineLvl w:val="7"/>
    </w:pPr>
    <w:rPr>
      <w:rFonts w:ascii="Arial" w:hAnsi="Arial"/>
      <w:b/>
      <w:szCs w:val="20"/>
    </w:rPr>
  </w:style>
  <w:style w:type="paragraph" w:styleId="Titolo9">
    <w:name w:val="heading 9"/>
    <w:basedOn w:val="Normale"/>
    <w:next w:val="Normale"/>
    <w:link w:val="Titolo9Carattere"/>
    <w:uiPriority w:val="99"/>
    <w:qFormat/>
    <w:pPr>
      <w:keepNext/>
      <w:numPr>
        <w:ilvl w:val="12"/>
      </w:numPr>
      <w:outlineLvl w:val="8"/>
    </w:pPr>
    <w:rPr>
      <w:rFonts w:ascii="Arial" w:hAnsi="Arial" w:cs="Arial"/>
      <w:b/>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Pr>
      <w:rFonts w:ascii="Cambria" w:hAnsi="Cambria" w:cs="Times New Roman"/>
      <w:b/>
      <w:bCs/>
      <w:kern w:val="32"/>
      <w:sz w:val="32"/>
      <w:szCs w:val="32"/>
    </w:rPr>
  </w:style>
  <w:style w:type="character" w:customStyle="1" w:styleId="Titolo2Carattere">
    <w:name w:val="Titolo 2 Carattere"/>
    <w:basedOn w:val="Carpredefinitoparagrafo"/>
    <w:link w:val="Titolo2"/>
    <w:uiPriority w:val="99"/>
    <w:semiHidden/>
    <w:locked/>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locked/>
    <w:rPr>
      <w:rFonts w:ascii="Cambria" w:hAnsi="Cambria" w:cs="Times New Roman"/>
      <w:b/>
      <w:bCs/>
      <w:sz w:val="26"/>
      <w:szCs w:val="26"/>
    </w:rPr>
  </w:style>
  <w:style w:type="character" w:customStyle="1" w:styleId="Titolo4Carattere">
    <w:name w:val="Titolo 4 Carattere"/>
    <w:basedOn w:val="Carpredefinitoparagrafo"/>
    <w:link w:val="Titolo4"/>
    <w:uiPriority w:val="99"/>
    <w:semiHidden/>
    <w:locked/>
    <w:rPr>
      <w:rFonts w:ascii="Calibri" w:hAnsi="Calibri" w:cs="Times New Roman"/>
      <w:b/>
      <w:bCs/>
      <w:sz w:val="28"/>
      <w:szCs w:val="28"/>
    </w:rPr>
  </w:style>
  <w:style w:type="character" w:customStyle="1" w:styleId="Titolo6Carattere">
    <w:name w:val="Titolo 6 Carattere"/>
    <w:basedOn w:val="Carpredefinitoparagrafo"/>
    <w:link w:val="Titolo6"/>
    <w:uiPriority w:val="99"/>
    <w:semiHidden/>
    <w:locked/>
    <w:rPr>
      <w:rFonts w:ascii="Calibri" w:hAnsi="Calibri" w:cs="Times New Roman"/>
      <w:b/>
      <w:bCs/>
    </w:rPr>
  </w:style>
  <w:style w:type="character" w:customStyle="1" w:styleId="Titolo8Carattere">
    <w:name w:val="Titolo 8 Carattere"/>
    <w:basedOn w:val="Carpredefinitoparagrafo"/>
    <w:link w:val="Titolo8"/>
    <w:uiPriority w:val="99"/>
    <w:semiHidden/>
    <w:locked/>
    <w:rPr>
      <w:rFonts w:ascii="Calibri" w:hAnsi="Calibri" w:cs="Times New Roman"/>
      <w:i/>
      <w:iCs/>
      <w:sz w:val="24"/>
      <w:szCs w:val="24"/>
    </w:rPr>
  </w:style>
  <w:style w:type="character" w:customStyle="1" w:styleId="Titolo9Carattere">
    <w:name w:val="Titolo 9 Carattere"/>
    <w:basedOn w:val="Carpredefinitoparagrafo"/>
    <w:link w:val="Titolo9"/>
    <w:uiPriority w:val="99"/>
    <w:semiHidden/>
    <w:locked/>
    <w:rPr>
      <w:rFonts w:ascii="Cambria" w:hAnsi="Cambria" w:cs="Times New Roman"/>
    </w:rPr>
  </w:style>
  <w:style w:type="paragraph" w:styleId="Testonotaapidipagina">
    <w:name w:val="footnote text"/>
    <w:aliases w:val="Testo nota a piè di pagina Carattere,Testo nota a piè di pagina Carattere1 Carattere,Testo nota a piè di pagina Carattere Carattere Carattere,Testo nota a piè di pagina Carattere1 Carattere Carattere Carattere,Carattere"/>
    <w:basedOn w:val="Normale"/>
    <w:link w:val="TestonotaapidipaginaCarattere1"/>
    <w:uiPriority w:val="99"/>
    <w:pPr>
      <w:widowControl w:val="0"/>
      <w:tabs>
        <w:tab w:val="left" w:pos="567"/>
      </w:tabs>
      <w:overflowPunct w:val="0"/>
      <w:autoSpaceDE w:val="0"/>
      <w:autoSpaceDN w:val="0"/>
      <w:adjustRightInd w:val="0"/>
      <w:spacing w:after="120"/>
      <w:ind w:left="567" w:hanging="567"/>
      <w:jc w:val="both"/>
    </w:pPr>
    <w:rPr>
      <w:rFonts w:ascii="Arial" w:hAnsi="Arial"/>
      <w:sz w:val="20"/>
      <w:szCs w:val="20"/>
    </w:rPr>
  </w:style>
  <w:style w:type="character" w:customStyle="1" w:styleId="TestonotaapidipaginaCarattere1">
    <w:name w:val="Testo nota a piè di pagina Carattere1"/>
    <w:aliases w:val="Testo nota a piè di pagina Carattere Carattere,Testo nota a piè di pagina Carattere1 Carattere Carattere,Testo nota a piè di pagina Carattere Carattere Carattere Carattere,Carattere Carattere1"/>
    <w:basedOn w:val="Carpredefinitoparagrafo"/>
    <w:link w:val="Testonotaapidipagina"/>
    <w:uiPriority w:val="99"/>
    <w:locked/>
    <w:rPr>
      <w:rFonts w:ascii="Arial" w:hAnsi="Arial" w:cs="Times New Roman"/>
      <w:lang w:val="it-IT" w:eastAsia="it-IT"/>
    </w:rPr>
  </w:style>
  <w:style w:type="paragraph" w:styleId="Intestazione">
    <w:name w:val="header"/>
    <w:basedOn w:val="Normale"/>
    <w:link w:val="IntestazioneCarattere"/>
    <w:uiPriority w:val="99"/>
    <w:pPr>
      <w:widowControl w:val="0"/>
      <w:tabs>
        <w:tab w:val="center" w:pos="4819"/>
        <w:tab w:val="right" w:pos="9638"/>
      </w:tabs>
      <w:overflowPunct w:val="0"/>
      <w:autoSpaceDE w:val="0"/>
      <w:autoSpaceDN w:val="0"/>
      <w:adjustRightInd w:val="0"/>
      <w:spacing w:after="120"/>
      <w:jc w:val="both"/>
    </w:pPr>
    <w:rPr>
      <w:rFonts w:ascii="Arial" w:hAnsi="Arial"/>
      <w:szCs w:val="20"/>
    </w:rPr>
  </w:style>
  <w:style w:type="character" w:customStyle="1" w:styleId="IntestazioneCarattere">
    <w:name w:val="Intestazione Carattere"/>
    <w:basedOn w:val="Carpredefinitoparagrafo"/>
    <w:link w:val="Intestazione"/>
    <w:uiPriority w:val="99"/>
    <w:semiHidden/>
    <w:locked/>
    <w:rPr>
      <w:rFonts w:cs="Times New Roman"/>
      <w:sz w:val="24"/>
      <w:szCs w:val="24"/>
    </w:rPr>
  </w:style>
  <w:style w:type="paragraph" w:styleId="Pidipagina">
    <w:name w:val="footer"/>
    <w:basedOn w:val="Normale"/>
    <w:link w:val="PidipaginaCarattere"/>
    <w:uiPriority w:val="99"/>
    <w:pPr>
      <w:widowControl w:val="0"/>
      <w:pBdr>
        <w:top w:val="single" w:sz="6" w:space="1" w:color="auto"/>
      </w:pBdr>
      <w:overflowPunct w:val="0"/>
      <w:autoSpaceDE w:val="0"/>
      <w:autoSpaceDN w:val="0"/>
      <w:adjustRightInd w:val="0"/>
      <w:spacing w:after="120"/>
      <w:jc w:val="center"/>
    </w:pPr>
    <w:rPr>
      <w:rFonts w:ascii="Arial" w:hAnsi="Arial"/>
      <w:sz w:val="18"/>
      <w:szCs w:val="20"/>
    </w:rPr>
  </w:style>
  <w:style w:type="character" w:customStyle="1" w:styleId="PidipaginaCarattere">
    <w:name w:val="Piè di pagina Carattere"/>
    <w:basedOn w:val="Carpredefinitoparagrafo"/>
    <w:link w:val="Pidipagina"/>
    <w:uiPriority w:val="99"/>
    <w:semiHidden/>
    <w:locked/>
    <w:rPr>
      <w:rFonts w:cs="Times New Roman"/>
      <w:sz w:val="24"/>
      <w:szCs w:val="24"/>
    </w:rPr>
  </w:style>
  <w:style w:type="paragraph" w:styleId="Titolo">
    <w:name w:val="Title"/>
    <w:basedOn w:val="Normale"/>
    <w:link w:val="TitoloCarattere"/>
    <w:qFormat/>
    <w:pPr>
      <w:spacing w:after="360"/>
      <w:jc w:val="center"/>
    </w:pPr>
    <w:rPr>
      <w:rFonts w:ascii="Arial" w:hAnsi="Arial" w:cs="Arial"/>
      <w:b/>
      <w:i/>
      <w:sz w:val="36"/>
    </w:rPr>
  </w:style>
  <w:style w:type="character" w:customStyle="1" w:styleId="TitoloCarattere">
    <w:name w:val="Titolo Carattere"/>
    <w:basedOn w:val="Carpredefinitoparagrafo"/>
    <w:link w:val="Titolo"/>
    <w:locked/>
    <w:rPr>
      <w:rFonts w:ascii="Cambria" w:hAnsi="Cambria" w:cs="Times New Roman"/>
      <w:b/>
      <w:bCs/>
      <w:kern w:val="28"/>
      <w:sz w:val="32"/>
      <w:szCs w:val="32"/>
    </w:rPr>
  </w:style>
  <w:style w:type="paragraph" w:styleId="Corpotesto">
    <w:name w:val="Body Text"/>
    <w:basedOn w:val="Normale"/>
    <w:link w:val="CorpotestoCarattere"/>
    <w:uiPriority w:val="99"/>
    <w:pPr>
      <w:widowControl w:val="0"/>
      <w:overflowPunct w:val="0"/>
      <w:autoSpaceDE w:val="0"/>
      <w:autoSpaceDN w:val="0"/>
      <w:adjustRightInd w:val="0"/>
      <w:spacing w:after="120"/>
      <w:jc w:val="both"/>
    </w:pPr>
    <w:rPr>
      <w:rFonts w:ascii="Arial" w:hAnsi="Arial"/>
      <w:kern w:val="28"/>
      <w:szCs w:val="20"/>
    </w:rPr>
  </w:style>
  <w:style w:type="character" w:customStyle="1" w:styleId="CorpotestoCarattere">
    <w:name w:val="Corpo testo Carattere"/>
    <w:basedOn w:val="Carpredefinitoparagrafo"/>
    <w:link w:val="Corpotesto"/>
    <w:uiPriority w:val="99"/>
    <w:semiHidden/>
    <w:locked/>
    <w:rPr>
      <w:rFonts w:cs="Times New Roman"/>
      <w:sz w:val="24"/>
      <w:szCs w:val="24"/>
    </w:rPr>
  </w:style>
  <w:style w:type="paragraph" w:styleId="Rientrocorpodeltesto">
    <w:name w:val="Body Text Indent"/>
    <w:basedOn w:val="Normale"/>
    <w:link w:val="RientrocorpodeltestoCarattere"/>
    <w:uiPriority w:val="99"/>
    <w:pPr>
      <w:snapToGrid w:val="0"/>
      <w:spacing w:before="110" w:line="360" w:lineRule="auto"/>
      <w:ind w:firstLine="426"/>
      <w:jc w:val="both"/>
    </w:pPr>
    <w:rPr>
      <w:szCs w:val="20"/>
    </w:rPr>
  </w:style>
  <w:style w:type="character" w:customStyle="1" w:styleId="RientrocorpodeltestoCarattere">
    <w:name w:val="Rientro corpo del testo Carattere"/>
    <w:basedOn w:val="Carpredefinitoparagrafo"/>
    <w:link w:val="Rientrocorpodeltesto"/>
    <w:uiPriority w:val="99"/>
    <w:semiHidden/>
    <w:locked/>
    <w:rPr>
      <w:rFonts w:cs="Times New Roman"/>
      <w:sz w:val="24"/>
      <w:szCs w:val="24"/>
    </w:rPr>
  </w:style>
  <w:style w:type="paragraph" w:styleId="Corpodeltesto2">
    <w:name w:val="Body Text 2"/>
    <w:basedOn w:val="Normale"/>
    <w:link w:val="Corpodeltesto2Carattere"/>
    <w:uiPriority w:val="99"/>
    <w:pPr>
      <w:tabs>
        <w:tab w:val="left" w:pos="426"/>
      </w:tabs>
    </w:pPr>
    <w:rPr>
      <w:rFonts w:ascii="Arial" w:hAnsi="Arial" w:cs="Arial"/>
      <w:sz w:val="22"/>
    </w:rPr>
  </w:style>
  <w:style w:type="character" w:customStyle="1" w:styleId="Corpodeltesto2Carattere">
    <w:name w:val="Corpo del testo 2 Carattere"/>
    <w:basedOn w:val="Carpredefinitoparagrafo"/>
    <w:link w:val="Corpodeltesto2"/>
    <w:uiPriority w:val="99"/>
    <w:semiHidden/>
    <w:locked/>
    <w:rPr>
      <w:rFonts w:cs="Times New Roman"/>
      <w:sz w:val="24"/>
      <w:szCs w:val="24"/>
    </w:rPr>
  </w:style>
  <w:style w:type="paragraph" w:styleId="Corpodeltesto3">
    <w:name w:val="Body Text 3"/>
    <w:basedOn w:val="Normale"/>
    <w:link w:val="Corpodeltesto3Carattere"/>
    <w:uiPriority w:val="99"/>
    <w:pPr>
      <w:widowControl w:val="0"/>
      <w:overflowPunct w:val="0"/>
      <w:autoSpaceDE w:val="0"/>
      <w:autoSpaceDN w:val="0"/>
      <w:adjustRightInd w:val="0"/>
      <w:spacing w:after="120"/>
      <w:jc w:val="both"/>
    </w:pPr>
    <w:rPr>
      <w:rFonts w:ascii="Arial" w:hAnsi="Arial"/>
      <w:sz w:val="18"/>
      <w:szCs w:val="18"/>
    </w:rPr>
  </w:style>
  <w:style w:type="character" w:customStyle="1" w:styleId="Corpodeltesto3Carattere">
    <w:name w:val="Corpo del testo 3 Carattere"/>
    <w:basedOn w:val="Carpredefinitoparagrafo"/>
    <w:link w:val="Corpodeltesto3"/>
    <w:uiPriority w:val="99"/>
    <w:semiHidden/>
    <w:locked/>
    <w:rPr>
      <w:rFonts w:cs="Times New Roman"/>
      <w:sz w:val="16"/>
      <w:szCs w:val="16"/>
    </w:rPr>
  </w:style>
  <w:style w:type="paragraph" w:styleId="Rientrocorpodeltesto2">
    <w:name w:val="Body Text Indent 2"/>
    <w:basedOn w:val="Normale"/>
    <w:link w:val="Rientrocorpodeltesto2Carattere"/>
    <w:uiPriority w:val="99"/>
    <w:pPr>
      <w:spacing w:line="360" w:lineRule="auto"/>
      <w:ind w:left="360"/>
    </w:pPr>
    <w:rPr>
      <w:rFonts w:ascii="Arial" w:hAnsi="Arial" w:cs="Arial"/>
      <w:sz w:val="22"/>
      <w:szCs w:val="18"/>
    </w:rPr>
  </w:style>
  <w:style w:type="character" w:customStyle="1" w:styleId="Rientrocorpodeltesto2Carattere">
    <w:name w:val="Rientro corpo del testo 2 Carattere"/>
    <w:basedOn w:val="Carpredefinitoparagrafo"/>
    <w:link w:val="Rientrocorpodeltesto2"/>
    <w:uiPriority w:val="99"/>
    <w:semiHidden/>
    <w:locked/>
    <w:rPr>
      <w:rFonts w:cs="Times New Roman"/>
      <w:sz w:val="24"/>
      <w:szCs w:val="24"/>
    </w:rPr>
  </w:style>
  <w:style w:type="paragraph" w:customStyle="1" w:styleId="CPVC">
    <w:name w:val="CPV_C"/>
    <w:uiPriority w:val="99"/>
    <w:pPr>
      <w:widowControl w:val="0"/>
      <w:tabs>
        <w:tab w:val="left" w:pos="0"/>
        <w:tab w:val="left" w:pos="1247"/>
        <w:tab w:val="left" w:pos="3969"/>
        <w:tab w:val="left" w:pos="4252"/>
        <w:tab w:val="left" w:pos="11339"/>
        <w:tab w:val="left" w:pos="28346"/>
      </w:tabs>
      <w:autoSpaceDE w:val="0"/>
      <w:autoSpaceDN w:val="0"/>
      <w:adjustRightInd w:val="0"/>
      <w:spacing w:before="260" w:after="85" w:line="25" w:lineRule="atLeast"/>
      <w:jc w:val="center"/>
    </w:pPr>
    <w:rPr>
      <w:rFonts w:ascii="ItcCenturyLight" w:hAnsi="ItcCenturyLight" w:cs="ItcCenturyLight"/>
      <w:sz w:val="20"/>
      <w:szCs w:val="20"/>
    </w:rPr>
  </w:style>
  <w:style w:type="paragraph" w:customStyle="1" w:styleId="CPVCcvo">
    <w:name w:val="CPV_Ccvo"/>
    <w:uiPriority w:val="99"/>
    <w:pPr>
      <w:widowControl w:val="0"/>
      <w:tabs>
        <w:tab w:val="left" w:pos="0"/>
        <w:tab w:val="left" w:pos="1247"/>
        <w:tab w:val="left" w:pos="3969"/>
        <w:tab w:val="left" w:pos="4252"/>
        <w:tab w:val="left" w:pos="11339"/>
        <w:tab w:val="left" w:pos="28346"/>
      </w:tabs>
      <w:autoSpaceDE w:val="0"/>
      <w:autoSpaceDN w:val="0"/>
      <w:adjustRightInd w:val="0"/>
      <w:spacing w:before="260" w:after="85" w:line="25" w:lineRule="atLeast"/>
      <w:jc w:val="center"/>
    </w:pPr>
    <w:rPr>
      <w:rFonts w:ascii="ItcCenturyLight" w:hAnsi="ItcCenturyLight" w:cs="ItcCenturyLight"/>
      <w:i/>
      <w:iCs/>
      <w:sz w:val="20"/>
      <w:szCs w:val="20"/>
    </w:rPr>
  </w:style>
  <w:style w:type="paragraph" w:customStyle="1" w:styleId="LIV2">
    <w:name w:val="LIV2"/>
    <w:uiPriority w:val="99"/>
    <w:pPr>
      <w:widowControl w:val="0"/>
      <w:tabs>
        <w:tab w:val="left" w:pos="0"/>
        <w:tab w:val="left" w:pos="1418"/>
        <w:tab w:val="left" w:pos="2835"/>
        <w:tab w:val="left" w:pos="4252"/>
      </w:tabs>
      <w:autoSpaceDE w:val="0"/>
      <w:autoSpaceDN w:val="0"/>
      <w:adjustRightInd w:val="0"/>
      <w:spacing w:before="444" w:after="171" w:line="12" w:lineRule="atLeast"/>
      <w:jc w:val="both"/>
    </w:pPr>
    <w:rPr>
      <w:rFonts w:ascii="UniversExBlkExt" w:hAnsi="UniversExBlkExt" w:cs="UniversExBlkExt"/>
      <w:b/>
      <w:bCs/>
      <w:sz w:val="16"/>
      <w:szCs w:val="16"/>
    </w:rPr>
  </w:style>
  <w:style w:type="paragraph" w:customStyle="1" w:styleId="cpv">
    <w:name w:val="cpv"/>
    <w:uiPriority w:val="99"/>
    <w:pPr>
      <w:widowControl w:val="0"/>
      <w:tabs>
        <w:tab w:val="left" w:pos="0"/>
        <w:tab w:val="left" w:pos="1418"/>
        <w:tab w:val="left" w:pos="2835"/>
        <w:tab w:val="left" w:pos="4252"/>
      </w:tabs>
      <w:autoSpaceDE w:val="0"/>
      <w:autoSpaceDN w:val="0"/>
      <w:adjustRightInd w:val="0"/>
      <w:spacing w:before="175" w:line="25" w:lineRule="atLeast"/>
      <w:jc w:val="both"/>
    </w:pPr>
    <w:rPr>
      <w:rFonts w:ascii="ItcCenturyLight" w:hAnsi="ItcCenturyLight" w:cs="ItcCenturyLight"/>
      <w:sz w:val="20"/>
      <w:szCs w:val="20"/>
    </w:rPr>
  </w:style>
  <w:style w:type="paragraph" w:customStyle="1" w:styleId="liv1unita">
    <w:name w:val="liv1_unita"/>
    <w:uiPriority w:val="99"/>
    <w:pPr>
      <w:widowControl w:val="0"/>
      <w:tabs>
        <w:tab w:val="left" w:pos="469"/>
        <w:tab w:val="left" w:pos="1887"/>
        <w:tab w:val="left" w:pos="3304"/>
        <w:tab w:val="left" w:pos="4721"/>
      </w:tabs>
      <w:autoSpaceDE w:val="0"/>
      <w:autoSpaceDN w:val="0"/>
      <w:adjustRightInd w:val="0"/>
      <w:spacing w:before="489" w:after="85" w:line="12" w:lineRule="atLeast"/>
      <w:ind w:left="469" w:hanging="469"/>
      <w:jc w:val="both"/>
    </w:pPr>
    <w:rPr>
      <w:rFonts w:ascii="UniversExBlkExt" w:hAnsi="UniversExBlkExt" w:cs="UniversExBlkExt"/>
      <w:b/>
      <w:bCs/>
      <w:sz w:val="16"/>
      <w:szCs w:val="16"/>
    </w:rPr>
  </w:style>
  <w:style w:type="paragraph" w:customStyle="1" w:styleId="sottocpv1">
    <w:name w:val="sottocpv1"/>
    <w:uiPriority w:val="99"/>
    <w:pPr>
      <w:widowControl w:val="0"/>
      <w:tabs>
        <w:tab w:val="left" w:pos="341"/>
        <w:tab w:val="left" w:pos="1759"/>
        <w:tab w:val="left" w:pos="3176"/>
        <w:tab w:val="left" w:pos="4593"/>
      </w:tabs>
      <w:autoSpaceDE w:val="0"/>
      <w:autoSpaceDN w:val="0"/>
      <w:adjustRightInd w:val="0"/>
      <w:spacing w:before="175" w:line="25" w:lineRule="atLeast"/>
      <w:ind w:left="341" w:hanging="341"/>
      <w:jc w:val="both"/>
    </w:pPr>
    <w:rPr>
      <w:rFonts w:ascii="ItcCenturyLight" w:hAnsi="ItcCenturyLight" w:cs="ItcCenturyLight"/>
      <w:sz w:val="20"/>
      <w:szCs w:val="20"/>
    </w:rPr>
  </w:style>
  <w:style w:type="paragraph" w:customStyle="1" w:styleId="Corpodeltesto21">
    <w:name w:val="Corpo del testo 21"/>
    <w:basedOn w:val="Normale"/>
    <w:uiPriority w:val="99"/>
    <w:pPr>
      <w:widowControl w:val="0"/>
      <w:overflowPunct w:val="0"/>
      <w:autoSpaceDE w:val="0"/>
      <w:autoSpaceDN w:val="0"/>
      <w:adjustRightInd w:val="0"/>
      <w:spacing w:after="120"/>
      <w:jc w:val="both"/>
    </w:pPr>
    <w:rPr>
      <w:rFonts w:ascii="Arial" w:hAnsi="Arial"/>
      <w:b/>
      <w:i/>
      <w:szCs w:val="20"/>
    </w:rPr>
  </w:style>
  <w:style w:type="paragraph" w:customStyle="1" w:styleId="tabella">
    <w:name w:val="tabella"/>
    <w:basedOn w:val="Titolo3"/>
    <w:pPr>
      <w:keepNext/>
    </w:pPr>
    <w:rPr>
      <w:b w:val="0"/>
      <w:i/>
      <w:sz w:val="18"/>
      <w:szCs w:val="18"/>
    </w:rPr>
  </w:style>
  <w:style w:type="paragraph" w:customStyle="1" w:styleId="tit2-circ">
    <w:name w:val="tit2-circ"/>
    <w:basedOn w:val="Normale"/>
    <w:uiPriority w:val="99"/>
    <w:pPr>
      <w:keepNext/>
      <w:spacing w:before="360" w:after="100"/>
      <w:ind w:right="108"/>
      <w:jc w:val="both"/>
    </w:pPr>
    <w:rPr>
      <w:rFonts w:ascii="Futura" w:hAnsi="Futura"/>
      <w:b/>
      <w:caps/>
      <w:sz w:val="20"/>
      <w:szCs w:val="20"/>
    </w:rPr>
  </w:style>
  <w:style w:type="character" w:styleId="Rimandonotaapidipagina">
    <w:name w:val="footnote reference"/>
    <w:basedOn w:val="Carpredefinitoparagrafo"/>
    <w:uiPriority w:val="99"/>
    <w:rPr>
      <w:rFonts w:cs="Times New Roman"/>
      <w:vertAlign w:val="superscript"/>
    </w:rPr>
  </w:style>
  <w:style w:type="paragraph" w:styleId="Mappadocumento">
    <w:name w:val="Document Map"/>
    <w:basedOn w:val="Normale"/>
    <w:link w:val="MappadocumentoCarattere"/>
    <w:uiPriority w:val="99"/>
    <w:semiHidden/>
    <w:pPr>
      <w:shd w:val="clear" w:color="auto" w:fill="000080"/>
    </w:pPr>
    <w:rPr>
      <w:rFonts w:ascii="Tahoma" w:hAnsi="Tahoma" w:cs="Tahoma"/>
      <w:sz w:val="20"/>
      <w:szCs w:val="20"/>
    </w:rPr>
  </w:style>
  <w:style w:type="character" w:customStyle="1" w:styleId="MappadocumentoCarattere">
    <w:name w:val="Mappa documento Carattere"/>
    <w:basedOn w:val="Carpredefinitoparagrafo"/>
    <w:link w:val="Mappadocumento"/>
    <w:uiPriority w:val="99"/>
    <w:semiHidden/>
    <w:locked/>
    <w:rPr>
      <w:rFonts w:cs="Times New Roman"/>
      <w:sz w:val="2"/>
    </w:rPr>
  </w:style>
  <w:style w:type="paragraph" w:styleId="Testofumetto">
    <w:name w:val="Balloon Text"/>
    <w:basedOn w:val="Normale"/>
    <w:link w:val="TestofumettoCarattere"/>
    <w:uiPriority w:val="99"/>
    <w:semiHidden/>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cs="Times New Roman"/>
      <w:sz w:val="2"/>
    </w:rPr>
  </w:style>
  <w:style w:type="character" w:customStyle="1" w:styleId="CarattereCarattere">
    <w:name w:val="Carattere Carattere"/>
    <w:uiPriority w:val="99"/>
    <w:rPr>
      <w:rFonts w:ascii="Arial" w:hAnsi="Arial"/>
      <w:kern w:val="28"/>
      <w:sz w:val="24"/>
    </w:rPr>
  </w:style>
  <w:style w:type="character" w:styleId="Numeropagina">
    <w:name w:val="page number"/>
    <w:basedOn w:val="Carpredefinitoparagrafo"/>
    <w:uiPriority w:val="99"/>
    <w:rPr>
      <w:rFonts w:cs="Times New Roman"/>
    </w:rPr>
  </w:style>
  <w:style w:type="character" w:styleId="Rimandocommento">
    <w:name w:val="annotation reference"/>
    <w:basedOn w:val="Carpredefinitoparagrafo"/>
    <w:uiPriority w:val="99"/>
    <w:semiHidden/>
    <w:rPr>
      <w:rFonts w:cs="Times New Roman"/>
      <w:sz w:val="16"/>
    </w:rPr>
  </w:style>
  <w:style w:type="paragraph" w:styleId="Testocommento">
    <w:name w:val="annotation text"/>
    <w:basedOn w:val="Normale"/>
    <w:link w:val="TestocommentoCarattere"/>
    <w:uiPriority w:val="99"/>
    <w:semiHidden/>
    <w:rPr>
      <w:sz w:val="20"/>
      <w:szCs w:val="20"/>
    </w:rPr>
  </w:style>
  <w:style w:type="character" w:customStyle="1" w:styleId="TestocommentoCarattere">
    <w:name w:val="Testo commento Carattere"/>
    <w:basedOn w:val="Carpredefinitoparagrafo"/>
    <w:link w:val="Testocommento"/>
    <w:uiPriority w:val="99"/>
    <w:semiHidden/>
    <w:locked/>
    <w:rPr>
      <w:rFonts w:cs="Times New Roman"/>
      <w:sz w:val="20"/>
      <w:szCs w:val="20"/>
    </w:rPr>
  </w:style>
  <w:style w:type="paragraph" w:styleId="Soggettocommento">
    <w:name w:val="annotation subject"/>
    <w:basedOn w:val="Testocommento"/>
    <w:next w:val="Testocommento"/>
    <w:link w:val="SoggettocommentoCarattere"/>
    <w:uiPriority w:val="99"/>
    <w:semiHidden/>
    <w:rPr>
      <w:b/>
      <w:bCs/>
    </w:rPr>
  </w:style>
  <w:style w:type="character" w:customStyle="1" w:styleId="SoggettocommentoCarattere">
    <w:name w:val="Soggetto commento Carattere"/>
    <w:basedOn w:val="TestocommentoCarattere"/>
    <w:link w:val="Soggettocommento"/>
    <w:uiPriority w:val="99"/>
    <w:semiHidden/>
    <w:locked/>
    <w:rPr>
      <w:rFonts w:cs="Times New Roman"/>
      <w:b/>
      <w:bCs/>
      <w:sz w:val="20"/>
      <w:szCs w:val="20"/>
    </w:rPr>
  </w:style>
  <w:style w:type="paragraph" w:customStyle="1" w:styleId="Paragrafoelenco1">
    <w:name w:val="Paragrafo elenco1"/>
    <w:basedOn w:val="Normale"/>
    <w:uiPriority w:val="99"/>
    <w:pPr>
      <w:spacing w:after="200" w:line="276" w:lineRule="auto"/>
      <w:ind w:left="720"/>
      <w:contextualSpacing/>
    </w:pPr>
    <w:rPr>
      <w:rFonts w:ascii="Calibri" w:hAnsi="Calibri"/>
      <w:sz w:val="22"/>
      <w:szCs w:val="22"/>
      <w:lang w:eastAsia="en-US"/>
    </w:rPr>
  </w:style>
  <w:style w:type="paragraph" w:styleId="NormaleWeb">
    <w:name w:val="Normal (Web)"/>
    <w:basedOn w:val="Normale"/>
    <w:uiPriority w:val="99"/>
    <w:pPr>
      <w:spacing w:before="100" w:beforeAutospacing="1" w:after="100" w:afterAutospacing="1"/>
    </w:pPr>
  </w:style>
  <w:style w:type="character" w:styleId="Enfasicorsivo">
    <w:name w:val="Emphasis"/>
    <w:basedOn w:val="Carpredefinitoparagrafo"/>
    <w:uiPriority w:val="99"/>
    <w:qFormat/>
    <w:rPr>
      <w:rFonts w:cs="Times New Roman"/>
      <w:i/>
    </w:rPr>
  </w:style>
  <w:style w:type="character" w:styleId="Collegamentoipertestuale">
    <w:name w:val="Hyperlink"/>
    <w:basedOn w:val="Carpredefinitoparagrafo"/>
    <w:uiPriority w:val="99"/>
    <w:rPr>
      <w:rFonts w:cs="Times New Roman"/>
      <w:color w:val="0000FF"/>
      <w:u w:val="single"/>
    </w:rPr>
  </w:style>
  <w:style w:type="character" w:styleId="Collegamentovisitato">
    <w:name w:val="FollowedHyperlink"/>
    <w:basedOn w:val="Carpredefinitoparagrafo"/>
    <w:uiPriority w:val="99"/>
    <w:rPr>
      <w:rFonts w:cs="Times New Roman"/>
      <w:color w:val="800080"/>
      <w:u w:val="single"/>
    </w:rPr>
  </w:style>
  <w:style w:type="table" w:styleId="Grigliatabella">
    <w:name w:val="Table Grid"/>
    <w:basedOn w:val="Tabellanormale"/>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e"/>
    <w:uiPriority w:val="99"/>
    <w:pPr>
      <w:widowControl w:val="0"/>
      <w:autoSpaceDE w:val="0"/>
      <w:autoSpaceDN w:val="0"/>
      <w:adjustRightInd w:val="0"/>
    </w:pPr>
    <w:rPr>
      <w:rFonts w:ascii="Thorndale AMT" w:hAnsi="Thorndale AMT" w:cs="Albany AMT"/>
    </w:rPr>
  </w:style>
  <w:style w:type="character" w:customStyle="1" w:styleId="linkneltesto">
    <w:name w:val="link_nel_testo"/>
    <w:rPr>
      <w:i/>
    </w:rPr>
  </w:style>
  <w:style w:type="paragraph" w:customStyle="1" w:styleId="provvr0">
    <w:name w:val="provv_r0"/>
    <w:basedOn w:val="Normale"/>
    <w:pPr>
      <w:spacing w:before="100" w:beforeAutospacing="1" w:after="100" w:afterAutospacing="1"/>
      <w:jc w:val="both"/>
    </w:pPr>
  </w:style>
  <w:style w:type="character" w:customStyle="1" w:styleId="provvnumcomma">
    <w:name w:val="provv_numcomma"/>
    <w:basedOn w:val="Carpredefinitoparagrafo"/>
    <w:rPr>
      <w:rFonts w:cs="Times New Roman"/>
    </w:rPr>
  </w:style>
  <w:style w:type="character" w:styleId="Enfasigrassetto">
    <w:name w:val="Strong"/>
    <w:basedOn w:val="Carpredefinitoparagrafo"/>
    <w:uiPriority w:val="99"/>
    <w:qFormat/>
    <w:rPr>
      <w:rFonts w:cs="Times New Roman"/>
      <w:b/>
    </w:rPr>
  </w:style>
  <w:style w:type="paragraph" w:customStyle="1" w:styleId="Default">
    <w:name w:val="Default"/>
    <w:uiPriority w:val="99"/>
    <w:pPr>
      <w:widowControl w:val="0"/>
      <w:suppressAutoHyphens/>
    </w:pPr>
    <w:rPr>
      <w:kern w:val="1"/>
      <w:lang w:eastAsia="ar-SA"/>
    </w:rPr>
  </w:style>
  <w:style w:type="paragraph" w:styleId="Sommario1">
    <w:name w:val="toc 1"/>
    <w:basedOn w:val="Normale"/>
    <w:next w:val="Normale"/>
    <w:autoRedefine/>
    <w:uiPriority w:val="39"/>
    <w:qFormat/>
  </w:style>
  <w:style w:type="paragraph" w:styleId="Sommario2">
    <w:name w:val="toc 2"/>
    <w:basedOn w:val="Normale"/>
    <w:next w:val="Normale"/>
    <w:autoRedefine/>
    <w:uiPriority w:val="39"/>
    <w:qFormat/>
    <w:pPr>
      <w:ind w:left="240"/>
    </w:pPr>
  </w:style>
  <w:style w:type="paragraph" w:styleId="Indice1">
    <w:name w:val="index 1"/>
    <w:basedOn w:val="Normale"/>
    <w:next w:val="Normale"/>
    <w:autoRedefine/>
    <w:uiPriority w:val="99"/>
    <w:pPr>
      <w:ind w:left="240" w:hanging="240"/>
    </w:pPr>
  </w:style>
  <w:style w:type="paragraph" w:styleId="Indice2">
    <w:name w:val="index 2"/>
    <w:basedOn w:val="Normale"/>
    <w:next w:val="Normale"/>
    <w:autoRedefine/>
    <w:uiPriority w:val="99"/>
    <w:pPr>
      <w:ind w:left="480" w:hanging="240"/>
    </w:pPr>
  </w:style>
  <w:style w:type="character" w:customStyle="1" w:styleId="apple-converted-space">
    <w:name w:val="apple-converted-space"/>
    <w:basedOn w:val="Carpredefinitoparagrafo"/>
    <w:rPr>
      <w:rFonts w:cs="Times New Roman"/>
    </w:rPr>
  </w:style>
  <w:style w:type="paragraph" w:styleId="PreformattatoHTML">
    <w:name w:val="HTML Preformatted"/>
    <w:basedOn w:val="Normale"/>
    <w:link w:val="PreformattatoHTMLCarattere"/>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locked/>
    <w:rPr>
      <w:rFonts w:ascii="Courier New" w:hAnsi="Courier New" w:cs="Courier New"/>
      <w:sz w:val="20"/>
      <w:szCs w:val="20"/>
    </w:rPr>
  </w:style>
  <w:style w:type="paragraph" w:styleId="Didascalia">
    <w:name w:val="caption"/>
    <w:basedOn w:val="Normale"/>
    <w:next w:val="Normale"/>
    <w:uiPriority w:val="99"/>
    <w:qFormat/>
    <w:rPr>
      <w:b/>
      <w:bCs/>
      <w:sz w:val="20"/>
      <w:szCs w:val="20"/>
    </w:rPr>
  </w:style>
  <w:style w:type="character" w:customStyle="1" w:styleId="navilast">
    <w:name w:val="navi_last"/>
    <w:basedOn w:val="Carpredefinitoparagrafo"/>
    <w:uiPriority w:val="99"/>
    <w:rPr>
      <w:rFonts w:cs="Times New Roman"/>
    </w:rPr>
  </w:style>
  <w:style w:type="character" w:customStyle="1" w:styleId="lilinkmenulista">
    <w:name w:val="lilinkmenulista"/>
    <w:uiPriority w:val="99"/>
  </w:style>
  <w:style w:type="paragraph" w:styleId="Revisione">
    <w:name w:val="Revision"/>
    <w:hidden/>
    <w:uiPriority w:val="99"/>
    <w:semiHidden/>
    <w:rPr>
      <w:sz w:val="24"/>
      <w:szCs w:val="24"/>
    </w:rPr>
  </w:style>
  <w:style w:type="paragraph" w:customStyle="1" w:styleId="Paragrafoelenco4">
    <w:name w:val="Paragrafo elenco4"/>
    <w:basedOn w:val="Normale"/>
    <w:uiPriority w:val="99"/>
    <w:pPr>
      <w:ind w:left="720"/>
      <w:contextualSpacing/>
      <w:jc w:val="both"/>
    </w:pPr>
  </w:style>
  <w:style w:type="paragraph" w:styleId="Paragrafoelenco">
    <w:name w:val="List Paragraph"/>
    <w:basedOn w:val="Normale"/>
    <w:uiPriority w:val="34"/>
    <w:qFormat/>
    <w:pPr>
      <w:ind w:left="720"/>
      <w:contextualSpacing/>
    </w:pPr>
  </w:style>
  <w:style w:type="paragraph" w:customStyle="1" w:styleId="BodyText21">
    <w:name w:val="Body Text 21"/>
    <w:basedOn w:val="Normale"/>
    <w:uiPriority w:val="99"/>
    <w:pPr>
      <w:widowControl w:val="0"/>
      <w:overflowPunct w:val="0"/>
      <w:autoSpaceDE w:val="0"/>
      <w:autoSpaceDN w:val="0"/>
      <w:adjustRightInd w:val="0"/>
      <w:spacing w:after="120"/>
      <w:jc w:val="both"/>
    </w:pPr>
    <w:rPr>
      <w:rFonts w:ascii="Arial" w:hAnsi="Arial"/>
      <w:b/>
      <w:i/>
      <w:szCs w:val="20"/>
    </w:rPr>
  </w:style>
  <w:style w:type="character" w:customStyle="1" w:styleId="provvrubrica">
    <w:name w:val="provv_rubrica"/>
    <w:basedOn w:val="Carpredefinitoparagrafo"/>
    <w:uiPriority w:val="99"/>
    <w:rPr>
      <w:rFonts w:cs="Times New Roman"/>
    </w:rPr>
  </w:style>
  <w:style w:type="paragraph" w:styleId="Sottotitolo">
    <w:name w:val="Subtitle"/>
    <w:basedOn w:val="Normale"/>
    <w:next w:val="Normale"/>
    <w:link w:val="SottotitoloCarattere"/>
    <w:uiPriority w:val="11"/>
    <w:qFormat/>
    <w:pPr>
      <w:spacing w:after="60"/>
      <w:jc w:val="center"/>
      <w:outlineLvl w:val="1"/>
    </w:pPr>
    <w:rPr>
      <w:rFonts w:asciiTheme="majorHAnsi" w:eastAsiaTheme="majorEastAsia" w:hAnsiTheme="majorHAnsi" w:cstheme="majorBidi"/>
    </w:rPr>
  </w:style>
  <w:style w:type="character" w:customStyle="1" w:styleId="SottotitoloCarattere">
    <w:name w:val="Sottotitolo Carattere"/>
    <w:basedOn w:val="Carpredefinitoparagrafo"/>
    <w:link w:val="Sottotitolo"/>
    <w:uiPriority w:val="11"/>
    <w:rPr>
      <w:rFonts w:asciiTheme="majorHAnsi" w:eastAsiaTheme="majorEastAsia" w:hAnsiTheme="majorHAnsi" w:cstheme="majorBidi"/>
      <w:sz w:val="24"/>
      <w:szCs w:val="24"/>
    </w:rPr>
  </w:style>
  <w:style w:type="character" w:styleId="Titolodellibro">
    <w:name w:val="Book Title"/>
    <w:basedOn w:val="Carpredefinitoparagrafo"/>
    <w:uiPriority w:val="33"/>
    <w:qFormat/>
    <w:rPr>
      <w:b/>
      <w:bCs/>
      <w:smallCaps/>
      <w:spacing w:val="5"/>
    </w:rPr>
  </w:style>
  <w:style w:type="paragraph" w:styleId="Titolosommario">
    <w:name w:val="TOC Heading"/>
    <w:basedOn w:val="Titolo1"/>
    <w:next w:val="Normale"/>
    <w:uiPriority w:val="39"/>
    <w:semiHidden/>
    <w:unhideWhenUsed/>
    <w:qFormat/>
    <w:pPr>
      <w:keepNext/>
      <w:keepLines/>
      <w:widowControl/>
      <w:pBdr>
        <w:top w:val="none" w:sz="0" w:space="0" w:color="auto"/>
        <w:left w:val="none" w:sz="0" w:space="0" w:color="auto"/>
        <w:bottom w:val="none" w:sz="0" w:space="0" w:color="auto"/>
        <w:right w:val="none" w:sz="0" w:space="0" w:color="auto"/>
      </w:pBdr>
      <w:shd w:val="clear" w:color="auto" w:fill="auto"/>
      <w:overflowPunct/>
      <w:autoSpaceDE/>
      <w:autoSpaceDN/>
      <w:adjustRightInd/>
      <w:spacing w:before="480" w:after="0" w:line="276" w:lineRule="auto"/>
      <w:jc w:val="left"/>
      <w:outlineLvl w:val="9"/>
    </w:pPr>
    <w:rPr>
      <w:rFonts w:asciiTheme="majorHAnsi" w:eastAsiaTheme="majorEastAsia" w:hAnsiTheme="majorHAnsi" w:cstheme="majorBidi"/>
      <w:bCs/>
      <w:i w:val="0"/>
      <w:color w:val="365F91" w:themeColor="accent1" w:themeShade="BF"/>
      <w:sz w:val="28"/>
      <w:szCs w:val="28"/>
    </w:rPr>
  </w:style>
  <w:style w:type="paragraph" w:styleId="Sommario3">
    <w:name w:val="toc 3"/>
    <w:basedOn w:val="Normale"/>
    <w:next w:val="Normale"/>
    <w:autoRedefine/>
    <w:uiPriority w:val="39"/>
    <w:qFormat/>
    <w:pPr>
      <w:spacing w:after="100"/>
      <w:ind w:left="480"/>
    </w:pPr>
  </w:style>
  <w:style w:type="paragraph" w:customStyle="1" w:styleId="m-6350291795918196642gmail-msolistparagraph">
    <w:name w:val="m_-6350291795918196642gmail-msolistparagraph"/>
    <w:basedOn w:val="Normale"/>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1366">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2">
          <w:marLeft w:val="0"/>
          <w:marRight w:val="0"/>
          <w:marTop w:val="0"/>
          <w:marBottom w:val="0"/>
          <w:divBdr>
            <w:top w:val="none" w:sz="0" w:space="0" w:color="auto"/>
            <w:left w:val="none" w:sz="0" w:space="0" w:color="auto"/>
            <w:bottom w:val="none" w:sz="0" w:space="0" w:color="auto"/>
            <w:right w:val="none" w:sz="0" w:space="0" w:color="auto"/>
          </w:divBdr>
        </w:div>
        <w:div w:id="348066236">
          <w:marLeft w:val="0"/>
          <w:marRight w:val="0"/>
          <w:marTop w:val="0"/>
          <w:marBottom w:val="0"/>
          <w:divBdr>
            <w:top w:val="none" w:sz="0" w:space="0" w:color="auto"/>
            <w:left w:val="none" w:sz="0" w:space="0" w:color="auto"/>
            <w:bottom w:val="none" w:sz="0" w:space="0" w:color="auto"/>
            <w:right w:val="none" w:sz="0" w:space="0" w:color="auto"/>
          </w:divBdr>
        </w:div>
        <w:div w:id="1630163130">
          <w:marLeft w:val="0"/>
          <w:marRight w:val="0"/>
          <w:marTop w:val="0"/>
          <w:marBottom w:val="0"/>
          <w:divBdr>
            <w:top w:val="none" w:sz="0" w:space="0" w:color="auto"/>
            <w:left w:val="none" w:sz="0" w:space="0" w:color="auto"/>
            <w:bottom w:val="none" w:sz="0" w:space="0" w:color="auto"/>
            <w:right w:val="none" w:sz="0" w:space="0" w:color="auto"/>
          </w:divBdr>
        </w:div>
        <w:div w:id="295574730">
          <w:marLeft w:val="0"/>
          <w:marRight w:val="0"/>
          <w:marTop w:val="0"/>
          <w:marBottom w:val="0"/>
          <w:divBdr>
            <w:top w:val="none" w:sz="0" w:space="0" w:color="auto"/>
            <w:left w:val="none" w:sz="0" w:space="0" w:color="auto"/>
            <w:bottom w:val="none" w:sz="0" w:space="0" w:color="auto"/>
            <w:right w:val="none" w:sz="0" w:space="0" w:color="auto"/>
          </w:divBdr>
        </w:div>
        <w:div w:id="2089186184">
          <w:marLeft w:val="0"/>
          <w:marRight w:val="0"/>
          <w:marTop w:val="0"/>
          <w:marBottom w:val="0"/>
          <w:divBdr>
            <w:top w:val="none" w:sz="0" w:space="0" w:color="auto"/>
            <w:left w:val="none" w:sz="0" w:space="0" w:color="auto"/>
            <w:bottom w:val="none" w:sz="0" w:space="0" w:color="auto"/>
            <w:right w:val="none" w:sz="0" w:space="0" w:color="auto"/>
          </w:divBdr>
        </w:div>
        <w:div w:id="1666594535">
          <w:marLeft w:val="0"/>
          <w:marRight w:val="0"/>
          <w:marTop w:val="0"/>
          <w:marBottom w:val="0"/>
          <w:divBdr>
            <w:top w:val="none" w:sz="0" w:space="0" w:color="auto"/>
            <w:left w:val="none" w:sz="0" w:space="0" w:color="auto"/>
            <w:bottom w:val="none" w:sz="0" w:space="0" w:color="auto"/>
            <w:right w:val="none" w:sz="0" w:space="0" w:color="auto"/>
          </w:divBdr>
        </w:div>
        <w:div w:id="1660843378">
          <w:marLeft w:val="0"/>
          <w:marRight w:val="0"/>
          <w:marTop w:val="0"/>
          <w:marBottom w:val="0"/>
          <w:divBdr>
            <w:top w:val="none" w:sz="0" w:space="0" w:color="auto"/>
            <w:left w:val="none" w:sz="0" w:space="0" w:color="auto"/>
            <w:bottom w:val="none" w:sz="0" w:space="0" w:color="auto"/>
            <w:right w:val="none" w:sz="0" w:space="0" w:color="auto"/>
          </w:divBdr>
        </w:div>
        <w:div w:id="1125390588">
          <w:marLeft w:val="0"/>
          <w:marRight w:val="0"/>
          <w:marTop w:val="0"/>
          <w:marBottom w:val="0"/>
          <w:divBdr>
            <w:top w:val="none" w:sz="0" w:space="0" w:color="auto"/>
            <w:left w:val="none" w:sz="0" w:space="0" w:color="auto"/>
            <w:bottom w:val="none" w:sz="0" w:space="0" w:color="auto"/>
            <w:right w:val="none" w:sz="0" w:space="0" w:color="auto"/>
          </w:divBdr>
        </w:div>
        <w:div w:id="179852856">
          <w:marLeft w:val="0"/>
          <w:marRight w:val="0"/>
          <w:marTop w:val="0"/>
          <w:marBottom w:val="0"/>
          <w:divBdr>
            <w:top w:val="none" w:sz="0" w:space="0" w:color="auto"/>
            <w:left w:val="none" w:sz="0" w:space="0" w:color="auto"/>
            <w:bottom w:val="none" w:sz="0" w:space="0" w:color="auto"/>
            <w:right w:val="none" w:sz="0" w:space="0" w:color="auto"/>
          </w:divBdr>
        </w:div>
        <w:div w:id="1161968407">
          <w:marLeft w:val="0"/>
          <w:marRight w:val="0"/>
          <w:marTop w:val="0"/>
          <w:marBottom w:val="0"/>
          <w:divBdr>
            <w:top w:val="none" w:sz="0" w:space="0" w:color="auto"/>
            <w:left w:val="none" w:sz="0" w:space="0" w:color="auto"/>
            <w:bottom w:val="none" w:sz="0" w:space="0" w:color="auto"/>
            <w:right w:val="none" w:sz="0" w:space="0" w:color="auto"/>
          </w:divBdr>
        </w:div>
      </w:divsChild>
    </w:div>
    <w:div w:id="27536521">
      <w:bodyDiv w:val="1"/>
      <w:marLeft w:val="0"/>
      <w:marRight w:val="0"/>
      <w:marTop w:val="0"/>
      <w:marBottom w:val="0"/>
      <w:divBdr>
        <w:top w:val="none" w:sz="0" w:space="0" w:color="auto"/>
        <w:left w:val="none" w:sz="0" w:space="0" w:color="auto"/>
        <w:bottom w:val="none" w:sz="0" w:space="0" w:color="auto"/>
        <w:right w:val="none" w:sz="0" w:space="0" w:color="auto"/>
      </w:divBdr>
    </w:div>
    <w:div w:id="111365195">
      <w:bodyDiv w:val="1"/>
      <w:marLeft w:val="0"/>
      <w:marRight w:val="0"/>
      <w:marTop w:val="0"/>
      <w:marBottom w:val="0"/>
      <w:divBdr>
        <w:top w:val="none" w:sz="0" w:space="0" w:color="auto"/>
        <w:left w:val="none" w:sz="0" w:space="0" w:color="auto"/>
        <w:bottom w:val="none" w:sz="0" w:space="0" w:color="auto"/>
        <w:right w:val="none" w:sz="0" w:space="0" w:color="auto"/>
      </w:divBdr>
    </w:div>
    <w:div w:id="150486203">
      <w:bodyDiv w:val="1"/>
      <w:marLeft w:val="0"/>
      <w:marRight w:val="0"/>
      <w:marTop w:val="0"/>
      <w:marBottom w:val="0"/>
      <w:divBdr>
        <w:top w:val="none" w:sz="0" w:space="0" w:color="auto"/>
        <w:left w:val="none" w:sz="0" w:space="0" w:color="auto"/>
        <w:bottom w:val="none" w:sz="0" w:space="0" w:color="auto"/>
        <w:right w:val="none" w:sz="0" w:space="0" w:color="auto"/>
      </w:divBdr>
    </w:div>
    <w:div w:id="272520369">
      <w:bodyDiv w:val="1"/>
      <w:marLeft w:val="0"/>
      <w:marRight w:val="0"/>
      <w:marTop w:val="0"/>
      <w:marBottom w:val="0"/>
      <w:divBdr>
        <w:top w:val="none" w:sz="0" w:space="0" w:color="auto"/>
        <w:left w:val="none" w:sz="0" w:space="0" w:color="auto"/>
        <w:bottom w:val="none" w:sz="0" w:space="0" w:color="auto"/>
        <w:right w:val="none" w:sz="0" w:space="0" w:color="auto"/>
      </w:divBdr>
    </w:div>
    <w:div w:id="537207116">
      <w:bodyDiv w:val="1"/>
      <w:marLeft w:val="0"/>
      <w:marRight w:val="0"/>
      <w:marTop w:val="0"/>
      <w:marBottom w:val="0"/>
      <w:divBdr>
        <w:top w:val="none" w:sz="0" w:space="0" w:color="auto"/>
        <w:left w:val="none" w:sz="0" w:space="0" w:color="auto"/>
        <w:bottom w:val="none" w:sz="0" w:space="0" w:color="auto"/>
        <w:right w:val="none" w:sz="0" w:space="0" w:color="auto"/>
      </w:divBdr>
    </w:div>
    <w:div w:id="653412380">
      <w:marLeft w:val="0"/>
      <w:marRight w:val="0"/>
      <w:marTop w:val="0"/>
      <w:marBottom w:val="0"/>
      <w:divBdr>
        <w:top w:val="none" w:sz="0" w:space="0" w:color="auto"/>
        <w:left w:val="none" w:sz="0" w:space="0" w:color="auto"/>
        <w:bottom w:val="none" w:sz="0" w:space="0" w:color="auto"/>
        <w:right w:val="none" w:sz="0" w:space="0" w:color="auto"/>
      </w:divBdr>
    </w:div>
    <w:div w:id="653412382">
      <w:marLeft w:val="0"/>
      <w:marRight w:val="0"/>
      <w:marTop w:val="0"/>
      <w:marBottom w:val="0"/>
      <w:divBdr>
        <w:top w:val="none" w:sz="0" w:space="0" w:color="auto"/>
        <w:left w:val="none" w:sz="0" w:space="0" w:color="auto"/>
        <w:bottom w:val="none" w:sz="0" w:space="0" w:color="auto"/>
        <w:right w:val="none" w:sz="0" w:space="0" w:color="auto"/>
      </w:divBdr>
      <w:divsChild>
        <w:div w:id="653412379">
          <w:marLeft w:val="0"/>
          <w:marRight w:val="0"/>
          <w:marTop w:val="0"/>
          <w:marBottom w:val="0"/>
          <w:divBdr>
            <w:top w:val="none" w:sz="0" w:space="0" w:color="auto"/>
            <w:left w:val="none" w:sz="0" w:space="0" w:color="auto"/>
            <w:bottom w:val="none" w:sz="0" w:space="0" w:color="auto"/>
            <w:right w:val="none" w:sz="0" w:space="0" w:color="auto"/>
          </w:divBdr>
        </w:div>
        <w:div w:id="653412381">
          <w:marLeft w:val="0"/>
          <w:marRight w:val="0"/>
          <w:marTop w:val="0"/>
          <w:marBottom w:val="0"/>
          <w:divBdr>
            <w:top w:val="none" w:sz="0" w:space="0" w:color="auto"/>
            <w:left w:val="none" w:sz="0" w:space="0" w:color="auto"/>
            <w:bottom w:val="none" w:sz="0" w:space="0" w:color="auto"/>
            <w:right w:val="none" w:sz="0" w:space="0" w:color="auto"/>
          </w:divBdr>
        </w:div>
        <w:div w:id="653412383">
          <w:marLeft w:val="0"/>
          <w:marRight w:val="0"/>
          <w:marTop w:val="0"/>
          <w:marBottom w:val="0"/>
          <w:divBdr>
            <w:top w:val="none" w:sz="0" w:space="0" w:color="auto"/>
            <w:left w:val="none" w:sz="0" w:space="0" w:color="auto"/>
            <w:bottom w:val="none" w:sz="0" w:space="0" w:color="auto"/>
            <w:right w:val="none" w:sz="0" w:space="0" w:color="auto"/>
          </w:divBdr>
        </w:div>
        <w:div w:id="653412384">
          <w:marLeft w:val="0"/>
          <w:marRight w:val="0"/>
          <w:marTop w:val="0"/>
          <w:marBottom w:val="0"/>
          <w:divBdr>
            <w:top w:val="none" w:sz="0" w:space="0" w:color="auto"/>
            <w:left w:val="none" w:sz="0" w:space="0" w:color="auto"/>
            <w:bottom w:val="none" w:sz="0" w:space="0" w:color="auto"/>
            <w:right w:val="none" w:sz="0" w:space="0" w:color="auto"/>
          </w:divBdr>
        </w:div>
        <w:div w:id="653412385">
          <w:marLeft w:val="0"/>
          <w:marRight w:val="0"/>
          <w:marTop w:val="0"/>
          <w:marBottom w:val="0"/>
          <w:divBdr>
            <w:top w:val="none" w:sz="0" w:space="0" w:color="auto"/>
            <w:left w:val="none" w:sz="0" w:space="0" w:color="auto"/>
            <w:bottom w:val="none" w:sz="0" w:space="0" w:color="auto"/>
            <w:right w:val="none" w:sz="0" w:space="0" w:color="auto"/>
          </w:divBdr>
        </w:div>
      </w:divsChild>
    </w:div>
    <w:div w:id="653412386">
      <w:marLeft w:val="0"/>
      <w:marRight w:val="0"/>
      <w:marTop w:val="0"/>
      <w:marBottom w:val="0"/>
      <w:divBdr>
        <w:top w:val="none" w:sz="0" w:space="0" w:color="auto"/>
        <w:left w:val="none" w:sz="0" w:space="0" w:color="auto"/>
        <w:bottom w:val="none" w:sz="0" w:space="0" w:color="auto"/>
        <w:right w:val="none" w:sz="0" w:space="0" w:color="auto"/>
      </w:divBdr>
    </w:div>
    <w:div w:id="653412387">
      <w:marLeft w:val="0"/>
      <w:marRight w:val="0"/>
      <w:marTop w:val="0"/>
      <w:marBottom w:val="0"/>
      <w:divBdr>
        <w:top w:val="none" w:sz="0" w:space="0" w:color="auto"/>
        <w:left w:val="none" w:sz="0" w:space="0" w:color="auto"/>
        <w:bottom w:val="none" w:sz="0" w:space="0" w:color="auto"/>
        <w:right w:val="none" w:sz="0" w:space="0" w:color="auto"/>
      </w:divBdr>
    </w:div>
    <w:div w:id="653412388">
      <w:marLeft w:val="0"/>
      <w:marRight w:val="0"/>
      <w:marTop w:val="0"/>
      <w:marBottom w:val="0"/>
      <w:divBdr>
        <w:top w:val="none" w:sz="0" w:space="0" w:color="auto"/>
        <w:left w:val="none" w:sz="0" w:space="0" w:color="auto"/>
        <w:bottom w:val="none" w:sz="0" w:space="0" w:color="auto"/>
        <w:right w:val="none" w:sz="0" w:space="0" w:color="auto"/>
      </w:divBdr>
    </w:div>
    <w:div w:id="653412389">
      <w:marLeft w:val="0"/>
      <w:marRight w:val="0"/>
      <w:marTop w:val="0"/>
      <w:marBottom w:val="0"/>
      <w:divBdr>
        <w:top w:val="none" w:sz="0" w:space="0" w:color="auto"/>
        <w:left w:val="none" w:sz="0" w:space="0" w:color="auto"/>
        <w:bottom w:val="none" w:sz="0" w:space="0" w:color="auto"/>
        <w:right w:val="none" w:sz="0" w:space="0" w:color="auto"/>
      </w:divBdr>
    </w:div>
    <w:div w:id="653412390">
      <w:marLeft w:val="0"/>
      <w:marRight w:val="0"/>
      <w:marTop w:val="0"/>
      <w:marBottom w:val="0"/>
      <w:divBdr>
        <w:top w:val="none" w:sz="0" w:space="0" w:color="auto"/>
        <w:left w:val="none" w:sz="0" w:space="0" w:color="auto"/>
        <w:bottom w:val="none" w:sz="0" w:space="0" w:color="auto"/>
        <w:right w:val="none" w:sz="0" w:space="0" w:color="auto"/>
      </w:divBdr>
    </w:div>
    <w:div w:id="653412392">
      <w:marLeft w:val="0"/>
      <w:marRight w:val="0"/>
      <w:marTop w:val="0"/>
      <w:marBottom w:val="0"/>
      <w:divBdr>
        <w:top w:val="none" w:sz="0" w:space="0" w:color="auto"/>
        <w:left w:val="none" w:sz="0" w:space="0" w:color="auto"/>
        <w:bottom w:val="none" w:sz="0" w:space="0" w:color="auto"/>
        <w:right w:val="none" w:sz="0" w:space="0" w:color="auto"/>
      </w:divBdr>
    </w:div>
    <w:div w:id="653412393">
      <w:marLeft w:val="0"/>
      <w:marRight w:val="0"/>
      <w:marTop w:val="0"/>
      <w:marBottom w:val="0"/>
      <w:divBdr>
        <w:top w:val="none" w:sz="0" w:space="0" w:color="auto"/>
        <w:left w:val="none" w:sz="0" w:space="0" w:color="auto"/>
        <w:bottom w:val="none" w:sz="0" w:space="0" w:color="auto"/>
        <w:right w:val="none" w:sz="0" w:space="0" w:color="auto"/>
      </w:divBdr>
    </w:div>
    <w:div w:id="653412395">
      <w:marLeft w:val="0"/>
      <w:marRight w:val="0"/>
      <w:marTop w:val="0"/>
      <w:marBottom w:val="0"/>
      <w:divBdr>
        <w:top w:val="none" w:sz="0" w:space="0" w:color="auto"/>
        <w:left w:val="none" w:sz="0" w:space="0" w:color="auto"/>
        <w:bottom w:val="none" w:sz="0" w:space="0" w:color="auto"/>
        <w:right w:val="none" w:sz="0" w:space="0" w:color="auto"/>
      </w:divBdr>
    </w:div>
    <w:div w:id="653412396">
      <w:marLeft w:val="0"/>
      <w:marRight w:val="0"/>
      <w:marTop w:val="0"/>
      <w:marBottom w:val="0"/>
      <w:divBdr>
        <w:top w:val="none" w:sz="0" w:space="0" w:color="auto"/>
        <w:left w:val="none" w:sz="0" w:space="0" w:color="auto"/>
        <w:bottom w:val="none" w:sz="0" w:space="0" w:color="auto"/>
        <w:right w:val="none" w:sz="0" w:space="0" w:color="auto"/>
      </w:divBdr>
    </w:div>
    <w:div w:id="653412397">
      <w:marLeft w:val="0"/>
      <w:marRight w:val="0"/>
      <w:marTop w:val="0"/>
      <w:marBottom w:val="0"/>
      <w:divBdr>
        <w:top w:val="none" w:sz="0" w:space="0" w:color="auto"/>
        <w:left w:val="none" w:sz="0" w:space="0" w:color="auto"/>
        <w:bottom w:val="none" w:sz="0" w:space="0" w:color="auto"/>
        <w:right w:val="none" w:sz="0" w:space="0" w:color="auto"/>
      </w:divBdr>
    </w:div>
    <w:div w:id="653412398">
      <w:marLeft w:val="0"/>
      <w:marRight w:val="0"/>
      <w:marTop w:val="0"/>
      <w:marBottom w:val="0"/>
      <w:divBdr>
        <w:top w:val="none" w:sz="0" w:space="0" w:color="auto"/>
        <w:left w:val="none" w:sz="0" w:space="0" w:color="auto"/>
        <w:bottom w:val="none" w:sz="0" w:space="0" w:color="auto"/>
        <w:right w:val="none" w:sz="0" w:space="0" w:color="auto"/>
      </w:divBdr>
    </w:div>
    <w:div w:id="653412399">
      <w:marLeft w:val="0"/>
      <w:marRight w:val="0"/>
      <w:marTop w:val="0"/>
      <w:marBottom w:val="0"/>
      <w:divBdr>
        <w:top w:val="none" w:sz="0" w:space="0" w:color="auto"/>
        <w:left w:val="none" w:sz="0" w:space="0" w:color="auto"/>
        <w:bottom w:val="none" w:sz="0" w:space="0" w:color="auto"/>
        <w:right w:val="none" w:sz="0" w:space="0" w:color="auto"/>
      </w:divBdr>
    </w:div>
    <w:div w:id="653412400">
      <w:marLeft w:val="0"/>
      <w:marRight w:val="0"/>
      <w:marTop w:val="0"/>
      <w:marBottom w:val="0"/>
      <w:divBdr>
        <w:top w:val="none" w:sz="0" w:space="0" w:color="auto"/>
        <w:left w:val="none" w:sz="0" w:space="0" w:color="auto"/>
        <w:bottom w:val="none" w:sz="0" w:space="0" w:color="auto"/>
        <w:right w:val="none" w:sz="0" w:space="0" w:color="auto"/>
      </w:divBdr>
    </w:div>
    <w:div w:id="653412401">
      <w:marLeft w:val="0"/>
      <w:marRight w:val="0"/>
      <w:marTop w:val="0"/>
      <w:marBottom w:val="0"/>
      <w:divBdr>
        <w:top w:val="none" w:sz="0" w:space="0" w:color="auto"/>
        <w:left w:val="none" w:sz="0" w:space="0" w:color="auto"/>
        <w:bottom w:val="none" w:sz="0" w:space="0" w:color="auto"/>
        <w:right w:val="none" w:sz="0" w:space="0" w:color="auto"/>
      </w:divBdr>
    </w:div>
    <w:div w:id="653412402">
      <w:marLeft w:val="0"/>
      <w:marRight w:val="0"/>
      <w:marTop w:val="0"/>
      <w:marBottom w:val="0"/>
      <w:divBdr>
        <w:top w:val="none" w:sz="0" w:space="0" w:color="auto"/>
        <w:left w:val="none" w:sz="0" w:space="0" w:color="auto"/>
        <w:bottom w:val="none" w:sz="0" w:space="0" w:color="auto"/>
        <w:right w:val="none" w:sz="0" w:space="0" w:color="auto"/>
      </w:divBdr>
    </w:div>
    <w:div w:id="653412404">
      <w:marLeft w:val="0"/>
      <w:marRight w:val="0"/>
      <w:marTop w:val="0"/>
      <w:marBottom w:val="0"/>
      <w:divBdr>
        <w:top w:val="none" w:sz="0" w:space="0" w:color="auto"/>
        <w:left w:val="none" w:sz="0" w:space="0" w:color="auto"/>
        <w:bottom w:val="none" w:sz="0" w:space="0" w:color="auto"/>
        <w:right w:val="none" w:sz="0" w:space="0" w:color="auto"/>
      </w:divBdr>
    </w:div>
    <w:div w:id="653412405">
      <w:marLeft w:val="0"/>
      <w:marRight w:val="0"/>
      <w:marTop w:val="0"/>
      <w:marBottom w:val="0"/>
      <w:divBdr>
        <w:top w:val="none" w:sz="0" w:space="0" w:color="auto"/>
        <w:left w:val="none" w:sz="0" w:space="0" w:color="auto"/>
        <w:bottom w:val="none" w:sz="0" w:space="0" w:color="auto"/>
        <w:right w:val="none" w:sz="0" w:space="0" w:color="auto"/>
      </w:divBdr>
    </w:div>
    <w:div w:id="653412406">
      <w:marLeft w:val="0"/>
      <w:marRight w:val="0"/>
      <w:marTop w:val="0"/>
      <w:marBottom w:val="0"/>
      <w:divBdr>
        <w:top w:val="none" w:sz="0" w:space="0" w:color="auto"/>
        <w:left w:val="none" w:sz="0" w:space="0" w:color="auto"/>
        <w:bottom w:val="none" w:sz="0" w:space="0" w:color="auto"/>
        <w:right w:val="none" w:sz="0" w:space="0" w:color="auto"/>
      </w:divBdr>
    </w:div>
    <w:div w:id="653412407">
      <w:marLeft w:val="0"/>
      <w:marRight w:val="0"/>
      <w:marTop w:val="0"/>
      <w:marBottom w:val="0"/>
      <w:divBdr>
        <w:top w:val="none" w:sz="0" w:space="0" w:color="auto"/>
        <w:left w:val="none" w:sz="0" w:space="0" w:color="auto"/>
        <w:bottom w:val="none" w:sz="0" w:space="0" w:color="auto"/>
        <w:right w:val="none" w:sz="0" w:space="0" w:color="auto"/>
      </w:divBdr>
    </w:div>
    <w:div w:id="653412408">
      <w:marLeft w:val="0"/>
      <w:marRight w:val="0"/>
      <w:marTop w:val="0"/>
      <w:marBottom w:val="0"/>
      <w:divBdr>
        <w:top w:val="none" w:sz="0" w:space="0" w:color="auto"/>
        <w:left w:val="none" w:sz="0" w:space="0" w:color="auto"/>
        <w:bottom w:val="none" w:sz="0" w:space="0" w:color="auto"/>
        <w:right w:val="none" w:sz="0" w:space="0" w:color="auto"/>
      </w:divBdr>
    </w:div>
    <w:div w:id="653412409">
      <w:marLeft w:val="0"/>
      <w:marRight w:val="0"/>
      <w:marTop w:val="0"/>
      <w:marBottom w:val="0"/>
      <w:divBdr>
        <w:top w:val="none" w:sz="0" w:space="0" w:color="auto"/>
        <w:left w:val="none" w:sz="0" w:space="0" w:color="auto"/>
        <w:bottom w:val="none" w:sz="0" w:space="0" w:color="auto"/>
        <w:right w:val="none" w:sz="0" w:space="0" w:color="auto"/>
      </w:divBdr>
    </w:div>
    <w:div w:id="653412410">
      <w:marLeft w:val="0"/>
      <w:marRight w:val="0"/>
      <w:marTop w:val="0"/>
      <w:marBottom w:val="0"/>
      <w:divBdr>
        <w:top w:val="none" w:sz="0" w:space="0" w:color="auto"/>
        <w:left w:val="none" w:sz="0" w:space="0" w:color="auto"/>
        <w:bottom w:val="none" w:sz="0" w:space="0" w:color="auto"/>
        <w:right w:val="none" w:sz="0" w:space="0" w:color="auto"/>
      </w:divBdr>
    </w:div>
    <w:div w:id="653412411">
      <w:marLeft w:val="0"/>
      <w:marRight w:val="0"/>
      <w:marTop w:val="0"/>
      <w:marBottom w:val="0"/>
      <w:divBdr>
        <w:top w:val="none" w:sz="0" w:space="0" w:color="auto"/>
        <w:left w:val="none" w:sz="0" w:space="0" w:color="auto"/>
        <w:bottom w:val="none" w:sz="0" w:space="0" w:color="auto"/>
        <w:right w:val="none" w:sz="0" w:space="0" w:color="auto"/>
      </w:divBdr>
    </w:div>
    <w:div w:id="653412412">
      <w:marLeft w:val="0"/>
      <w:marRight w:val="0"/>
      <w:marTop w:val="0"/>
      <w:marBottom w:val="0"/>
      <w:divBdr>
        <w:top w:val="none" w:sz="0" w:space="0" w:color="auto"/>
        <w:left w:val="none" w:sz="0" w:space="0" w:color="auto"/>
        <w:bottom w:val="none" w:sz="0" w:space="0" w:color="auto"/>
        <w:right w:val="none" w:sz="0" w:space="0" w:color="auto"/>
      </w:divBdr>
    </w:div>
    <w:div w:id="653412413">
      <w:marLeft w:val="0"/>
      <w:marRight w:val="0"/>
      <w:marTop w:val="0"/>
      <w:marBottom w:val="0"/>
      <w:divBdr>
        <w:top w:val="none" w:sz="0" w:space="0" w:color="auto"/>
        <w:left w:val="none" w:sz="0" w:space="0" w:color="auto"/>
        <w:bottom w:val="none" w:sz="0" w:space="0" w:color="auto"/>
        <w:right w:val="none" w:sz="0" w:space="0" w:color="auto"/>
      </w:divBdr>
    </w:div>
    <w:div w:id="653412414">
      <w:marLeft w:val="0"/>
      <w:marRight w:val="0"/>
      <w:marTop w:val="0"/>
      <w:marBottom w:val="0"/>
      <w:divBdr>
        <w:top w:val="none" w:sz="0" w:space="0" w:color="auto"/>
        <w:left w:val="none" w:sz="0" w:space="0" w:color="auto"/>
        <w:bottom w:val="none" w:sz="0" w:space="0" w:color="auto"/>
        <w:right w:val="none" w:sz="0" w:space="0" w:color="auto"/>
      </w:divBdr>
    </w:div>
    <w:div w:id="653412415">
      <w:marLeft w:val="0"/>
      <w:marRight w:val="0"/>
      <w:marTop w:val="0"/>
      <w:marBottom w:val="0"/>
      <w:divBdr>
        <w:top w:val="none" w:sz="0" w:space="0" w:color="auto"/>
        <w:left w:val="none" w:sz="0" w:space="0" w:color="auto"/>
        <w:bottom w:val="none" w:sz="0" w:space="0" w:color="auto"/>
        <w:right w:val="none" w:sz="0" w:space="0" w:color="auto"/>
      </w:divBdr>
    </w:div>
    <w:div w:id="653412416">
      <w:marLeft w:val="0"/>
      <w:marRight w:val="0"/>
      <w:marTop w:val="0"/>
      <w:marBottom w:val="0"/>
      <w:divBdr>
        <w:top w:val="none" w:sz="0" w:space="0" w:color="auto"/>
        <w:left w:val="none" w:sz="0" w:space="0" w:color="auto"/>
        <w:bottom w:val="none" w:sz="0" w:space="0" w:color="auto"/>
        <w:right w:val="none" w:sz="0" w:space="0" w:color="auto"/>
      </w:divBdr>
    </w:div>
    <w:div w:id="653412417">
      <w:marLeft w:val="0"/>
      <w:marRight w:val="0"/>
      <w:marTop w:val="0"/>
      <w:marBottom w:val="0"/>
      <w:divBdr>
        <w:top w:val="none" w:sz="0" w:space="0" w:color="auto"/>
        <w:left w:val="none" w:sz="0" w:space="0" w:color="auto"/>
        <w:bottom w:val="none" w:sz="0" w:space="0" w:color="auto"/>
        <w:right w:val="none" w:sz="0" w:space="0" w:color="auto"/>
      </w:divBdr>
    </w:div>
    <w:div w:id="653412418">
      <w:marLeft w:val="0"/>
      <w:marRight w:val="0"/>
      <w:marTop w:val="0"/>
      <w:marBottom w:val="0"/>
      <w:divBdr>
        <w:top w:val="none" w:sz="0" w:space="0" w:color="auto"/>
        <w:left w:val="none" w:sz="0" w:space="0" w:color="auto"/>
        <w:bottom w:val="none" w:sz="0" w:space="0" w:color="auto"/>
        <w:right w:val="none" w:sz="0" w:space="0" w:color="auto"/>
      </w:divBdr>
    </w:div>
    <w:div w:id="653412419">
      <w:marLeft w:val="0"/>
      <w:marRight w:val="0"/>
      <w:marTop w:val="0"/>
      <w:marBottom w:val="0"/>
      <w:divBdr>
        <w:top w:val="none" w:sz="0" w:space="0" w:color="auto"/>
        <w:left w:val="none" w:sz="0" w:space="0" w:color="auto"/>
        <w:bottom w:val="none" w:sz="0" w:space="0" w:color="auto"/>
        <w:right w:val="none" w:sz="0" w:space="0" w:color="auto"/>
      </w:divBdr>
    </w:div>
    <w:div w:id="653412420">
      <w:marLeft w:val="0"/>
      <w:marRight w:val="0"/>
      <w:marTop w:val="0"/>
      <w:marBottom w:val="0"/>
      <w:divBdr>
        <w:top w:val="none" w:sz="0" w:space="0" w:color="auto"/>
        <w:left w:val="none" w:sz="0" w:space="0" w:color="auto"/>
        <w:bottom w:val="none" w:sz="0" w:space="0" w:color="auto"/>
        <w:right w:val="none" w:sz="0" w:space="0" w:color="auto"/>
      </w:divBdr>
    </w:div>
    <w:div w:id="653412421">
      <w:marLeft w:val="0"/>
      <w:marRight w:val="0"/>
      <w:marTop w:val="0"/>
      <w:marBottom w:val="0"/>
      <w:divBdr>
        <w:top w:val="none" w:sz="0" w:space="0" w:color="auto"/>
        <w:left w:val="none" w:sz="0" w:space="0" w:color="auto"/>
        <w:bottom w:val="none" w:sz="0" w:space="0" w:color="auto"/>
        <w:right w:val="none" w:sz="0" w:space="0" w:color="auto"/>
      </w:divBdr>
    </w:div>
    <w:div w:id="653412422">
      <w:marLeft w:val="0"/>
      <w:marRight w:val="0"/>
      <w:marTop w:val="0"/>
      <w:marBottom w:val="0"/>
      <w:divBdr>
        <w:top w:val="none" w:sz="0" w:space="0" w:color="auto"/>
        <w:left w:val="none" w:sz="0" w:space="0" w:color="auto"/>
        <w:bottom w:val="none" w:sz="0" w:space="0" w:color="auto"/>
        <w:right w:val="none" w:sz="0" w:space="0" w:color="auto"/>
      </w:divBdr>
    </w:div>
    <w:div w:id="653412423">
      <w:marLeft w:val="0"/>
      <w:marRight w:val="0"/>
      <w:marTop w:val="0"/>
      <w:marBottom w:val="0"/>
      <w:divBdr>
        <w:top w:val="none" w:sz="0" w:space="0" w:color="auto"/>
        <w:left w:val="none" w:sz="0" w:space="0" w:color="auto"/>
        <w:bottom w:val="none" w:sz="0" w:space="0" w:color="auto"/>
        <w:right w:val="none" w:sz="0" w:space="0" w:color="auto"/>
      </w:divBdr>
    </w:div>
    <w:div w:id="653412424">
      <w:marLeft w:val="0"/>
      <w:marRight w:val="0"/>
      <w:marTop w:val="0"/>
      <w:marBottom w:val="0"/>
      <w:divBdr>
        <w:top w:val="none" w:sz="0" w:space="0" w:color="auto"/>
        <w:left w:val="none" w:sz="0" w:space="0" w:color="auto"/>
        <w:bottom w:val="none" w:sz="0" w:space="0" w:color="auto"/>
        <w:right w:val="none" w:sz="0" w:space="0" w:color="auto"/>
      </w:divBdr>
    </w:div>
    <w:div w:id="653412425">
      <w:marLeft w:val="0"/>
      <w:marRight w:val="0"/>
      <w:marTop w:val="0"/>
      <w:marBottom w:val="0"/>
      <w:divBdr>
        <w:top w:val="none" w:sz="0" w:space="0" w:color="auto"/>
        <w:left w:val="none" w:sz="0" w:space="0" w:color="auto"/>
        <w:bottom w:val="none" w:sz="0" w:space="0" w:color="auto"/>
        <w:right w:val="none" w:sz="0" w:space="0" w:color="auto"/>
      </w:divBdr>
    </w:div>
    <w:div w:id="653412426">
      <w:marLeft w:val="0"/>
      <w:marRight w:val="0"/>
      <w:marTop w:val="0"/>
      <w:marBottom w:val="0"/>
      <w:divBdr>
        <w:top w:val="none" w:sz="0" w:space="0" w:color="auto"/>
        <w:left w:val="none" w:sz="0" w:space="0" w:color="auto"/>
        <w:bottom w:val="none" w:sz="0" w:space="0" w:color="auto"/>
        <w:right w:val="none" w:sz="0" w:space="0" w:color="auto"/>
      </w:divBdr>
    </w:div>
    <w:div w:id="653412427">
      <w:marLeft w:val="0"/>
      <w:marRight w:val="0"/>
      <w:marTop w:val="0"/>
      <w:marBottom w:val="0"/>
      <w:divBdr>
        <w:top w:val="none" w:sz="0" w:space="0" w:color="auto"/>
        <w:left w:val="none" w:sz="0" w:space="0" w:color="auto"/>
        <w:bottom w:val="none" w:sz="0" w:space="0" w:color="auto"/>
        <w:right w:val="none" w:sz="0" w:space="0" w:color="auto"/>
      </w:divBdr>
    </w:div>
    <w:div w:id="653412428">
      <w:marLeft w:val="0"/>
      <w:marRight w:val="0"/>
      <w:marTop w:val="0"/>
      <w:marBottom w:val="0"/>
      <w:divBdr>
        <w:top w:val="none" w:sz="0" w:space="0" w:color="auto"/>
        <w:left w:val="none" w:sz="0" w:space="0" w:color="auto"/>
        <w:bottom w:val="none" w:sz="0" w:space="0" w:color="auto"/>
        <w:right w:val="none" w:sz="0" w:space="0" w:color="auto"/>
      </w:divBdr>
    </w:div>
    <w:div w:id="653412429">
      <w:marLeft w:val="0"/>
      <w:marRight w:val="0"/>
      <w:marTop w:val="0"/>
      <w:marBottom w:val="0"/>
      <w:divBdr>
        <w:top w:val="none" w:sz="0" w:space="0" w:color="auto"/>
        <w:left w:val="none" w:sz="0" w:space="0" w:color="auto"/>
        <w:bottom w:val="none" w:sz="0" w:space="0" w:color="auto"/>
        <w:right w:val="none" w:sz="0" w:space="0" w:color="auto"/>
      </w:divBdr>
    </w:div>
    <w:div w:id="653412430">
      <w:marLeft w:val="0"/>
      <w:marRight w:val="0"/>
      <w:marTop w:val="0"/>
      <w:marBottom w:val="0"/>
      <w:divBdr>
        <w:top w:val="none" w:sz="0" w:space="0" w:color="auto"/>
        <w:left w:val="none" w:sz="0" w:space="0" w:color="auto"/>
        <w:bottom w:val="none" w:sz="0" w:space="0" w:color="auto"/>
        <w:right w:val="none" w:sz="0" w:space="0" w:color="auto"/>
      </w:divBdr>
    </w:div>
    <w:div w:id="653412431">
      <w:marLeft w:val="0"/>
      <w:marRight w:val="0"/>
      <w:marTop w:val="0"/>
      <w:marBottom w:val="0"/>
      <w:divBdr>
        <w:top w:val="none" w:sz="0" w:space="0" w:color="auto"/>
        <w:left w:val="none" w:sz="0" w:space="0" w:color="auto"/>
        <w:bottom w:val="none" w:sz="0" w:space="0" w:color="auto"/>
        <w:right w:val="none" w:sz="0" w:space="0" w:color="auto"/>
      </w:divBdr>
    </w:div>
    <w:div w:id="653412432">
      <w:marLeft w:val="0"/>
      <w:marRight w:val="0"/>
      <w:marTop w:val="0"/>
      <w:marBottom w:val="0"/>
      <w:divBdr>
        <w:top w:val="none" w:sz="0" w:space="0" w:color="auto"/>
        <w:left w:val="none" w:sz="0" w:space="0" w:color="auto"/>
        <w:bottom w:val="none" w:sz="0" w:space="0" w:color="auto"/>
        <w:right w:val="none" w:sz="0" w:space="0" w:color="auto"/>
      </w:divBdr>
    </w:div>
    <w:div w:id="653412433">
      <w:marLeft w:val="0"/>
      <w:marRight w:val="0"/>
      <w:marTop w:val="0"/>
      <w:marBottom w:val="0"/>
      <w:divBdr>
        <w:top w:val="none" w:sz="0" w:space="0" w:color="auto"/>
        <w:left w:val="none" w:sz="0" w:space="0" w:color="auto"/>
        <w:bottom w:val="none" w:sz="0" w:space="0" w:color="auto"/>
        <w:right w:val="none" w:sz="0" w:space="0" w:color="auto"/>
      </w:divBdr>
    </w:div>
    <w:div w:id="653412434">
      <w:marLeft w:val="0"/>
      <w:marRight w:val="0"/>
      <w:marTop w:val="0"/>
      <w:marBottom w:val="0"/>
      <w:divBdr>
        <w:top w:val="none" w:sz="0" w:space="0" w:color="auto"/>
        <w:left w:val="none" w:sz="0" w:space="0" w:color="auto"/>
        <w:bottom w:val="none" w:sz="0" w:space="0" w:color="auto"/>
        <w:right w:val="none" w:sz="0" w:space="0" w:color="auto"/>
      </w:divBdr>
    </w:div>
    <w:div w:id="653412435">
      <w:marLeft w:val="0"/>
      <w:marRight w:val="0"/>
      <w:marTop w:val="0"/>
      <w:marBottom w:val="0"/>
      <w:divBdr>
        <w:top w:val="none" w:sz="0" w:space="0" w:color="auto"/>
        <w:left w:val="none" w:sz="0" w:space="0" w:color="auto"/>
        <w:bottom w:val="none" w:sz="0" w:space="0" w:color="auto"/>
        <w:right w:val="none" w:sz="0" w:space="0" w:color="auto"/>
      </w:divBdr>
    </w:div>
    <w:div w:id="653412436">
      <w:marLeft w:val="0"/>
      <w:marRight w:val="0"/>
      <w:marTop w:val="0"/>
      <w:marBottom w:val="0"/>
      <w:divBdr>
        <w:top w:val="none" w:sz="0" w:space="0" w:color="auto"/>
        <w:left w:val="none" w:sz="0" w:space="0" w:color="auto"/>
        <w:bottom w:val="none" w:sz="0" w:space="0" w:color="auto"/>
        <w:right w:val="none" w:sz="0" w:space="0" w:color="auto"/>
      </w:divBdr>
    </w:div>
    <w:div w:id="653412437">
      <w:marLeft w:val="0"/>
      <w:marRight w:val="0"/>
      <w:marTop w:val="0"/>
      <w:marBottom w:val="0"/>
      <w:divBdr>
        <w:top w:val="none" w:sz="0" w:space="0" w:color="auto"/>
        <w:left w:val="none" w:sz="0" w:space="0" w:color="auto"/>
        <w:bottom w:val="none" w:sz="0" w:space="0" w:color="auto"/>
        <w:right w:val="none" w:sz="0" w:space="0" w:color="auto"/>
      </w:divBdr>
    </w:div>
    <w:div w:id="653412438">
      <w:marLeft w:val="0"/>
      <w:marRight w:val="0"/>
      <w:marTop w:val="0"/>
      <w:marBottom w:val="0"/>
      <w:divBdr>
        <w:top w:val="none" w:sz="0" w:space="0" w:color="auto"/>
        <w:left w:val="none" w:sz="0" w:space="0" w:color="auto"/>
        <w:bottom w:val="none" w:sz="0" w:space="0" w:color="auto"/>
        <w:right w:val="none" w:sz="0" w:space="0" w:color="auto"/>
      </w:divBdr>
    </w:div>
    <w:div w:id="653412439">
      <w:marLeft w:val="0"/>
      <w:marRight w:val="0"/>
      <w:marTop w:val="0"/>
      <w:marBottom w:val="0"/>
      <w:divBdr>
        <w:top w:val="none" w:sz="0" w:space="0" w:color="auto"/>
        <w:left w:val="none" w:sz="0" w:space="0" w:color="auto"/>
        <w:bottom w:val="none" w:sz="0" w:space="0" w:color="auto"/>
        <w:right w:val="none" w:sz="0" w:space="0" w:color="auto"/>
      </w:divBdr>
    </w:div>
    <w:div w:id="653412440">
      <w:marLeft w:val="0"/>
      <w:marRight w:val="0"/>
      <w:marTop w:val="0"/>
      <w:marBottom w:val="0"/>
      <w:divBdr>
        <w:top w:val="none" w:sz="0" w:space="0" w:color="auto"/>
        <w:left w:val="none" w:sz="0" w:space="0" w:color="auto"/>
        <w:bottom w:val="none" w:sz="0" w:space="0" w:color="auto"/>
        <w:right w:val="none" w:sz="0" w:space="0" w:color="auto"/>
      </w:divBdr>
    </w:div>
    <w:div w:id="653412441">
      <w:marLeft w:val="0"/>
      <w:marRight w:val="0"/>
      <w:marTop w:val="0"/>
      <w:marBottom w:val="0"/>
      <w:divBdr>
        <w:top w:val="none" w:sz="0" w:space="0" w:color="auto"/>
        <w:left w:val="none" w:sz="0" w:space="0" w:color="auto"/>
        <w:bottom w:val="none" w:sz="0" w:space="0" w:color="auto"/>
        <w:right w:val="none" w:sz="0" w:space="0" w:color="auto"/>
      </w:divBdr>
    </w:div>
    <w:div w:id="653412442">
      <w:marLeft w:val="0"/>
      <w:marRight w:val="0"/>
      <w:marTop w:val="0"/>
      <w:marBottom w:val="0"/>
      <w:divBdr>
        <w:top w:val="none" w:sz="0" w:space="0" w:color="auto"/>
        <w:left w:val="none" w:sz="0" w:space="0" w:color="auto"/>
        <w:bottom w:val="none" w:sz="0" w:space="0" w:color="auto"/>
        <w:right w:val="none" w:sz="0" w:space="0" w:color="auto"/>
      </w:divBdr>
    </w:div>
    <w:div w:id="653412443">
      <w:marLeft w:val="0"/>
      <w:marRight w:val="0"/>
      <w:marTop w:val="0"/>
      <w:marBottom w:val="0"/>
      <w:divBdr>
        <w:top w:val="none" w:sz="0" w:space="0" w:color="auto"/>
        <w:left w:val="none" w:sz="0" w:space="0" w:color="auto"/>
        <w:bottom w:val="none" w:sz="0" w:space="0" w:color="auto"/>
        <w:right w:val="none" w:sz="0" w:space="0" w:color="auto"/>
      </w:divBdr>
    </w:div>
    <w:div w:id="653412444">
      <w:marLeft w:val="0"/>
      <w:marRight w:val="0"/>
      <w:marTop w:val="0"/>
      <w:marBottom w:val="0"/>
      <w:divBdr>
        <w:top w:val="none" w:sz="0" w:space="0" w:color="auto"/>
        <w:left w:val="none" w:sz="0" w:space="0" w:color="auto"/>
        <w:bottom w:val="none" w:sz="0" w:space="0" w:color="auto"/>
        <w:right w:val="none" w:sz="0" w:space="0" w:color="auto"/>
      </w:divBdr>
    </w:div>
    <w:div w:id="653412445">
      <w:marLeft w:val="0"/>
      <w:marRight w:val="0"/>
      <w:marTop w:val="0"/>
      <w:marBottom w:val="0"/>
      <w:divBdr>
        <w:top w:val="none" w:sz="0" w:space="0" w:color="auto"/>
        <w:left w:val="none" w:sz="0" w:space="0" w:color="auto"/>
        <w:bottom w:val="none" w:sz="0" w:space="0" w:color="auto"/>
        <w:right w:val="none" w:sz="0" w:space="0" w:color="auto"/>
      </w:divBdr>
    </w:div>
    <w:div w:id="653412446">
      <w:marLeft w:val="0"/>
      <w:marRight w:val="0"/>
      <w:marTop w:val="0"/>
      <w:marBottom w:val="0"/>
      <w:divBdr>
        <w:top w:val="none" w:sz="0" w:space="0" w:color="auto"/>
        <w:left w:val="none" w:sz="0" w:space="0" w:color="auto"/>
        <w:bottom w:val="none" w:sz="0" w:space="0" w:color="auto"/>
        <w:right w:val="none" w:sz="0" w:space="0" w:color="auto"/>
      </w:divBdr>
    </w:div>
    <w:div w:id="653412447">
      <w:marLeft w:val="0"/>
      <w:marRight w:val="0"/>
      <w:marTop w:val="0"/>
      <w:marBottom w:val="0"/>
      <w:divBdr>
        <w:top w:val="none" w:sz="0" w:space="0" w:color="auto"/>
        <w:left w:val="none" w:sz="0" w:space="0" w:color="auto"/>
        <w:bottom w:val="none" w:sz="0" w:space="0" w:color="auto"/>
        <w:right w:val="none" w:sz="0" w:space="0" w:color="auto"/>
      </w:divBdr>
    </w:div>
    <w:div w:id="653412448">
      <w:marLeft w:val="0"/>
      <w:marRight w:val="0"/>
      <w:marTop w:val="0"/>
      <w:marBottom w:val="0"/>
      <w:divBdr>
        <w:top w:val="none" w:sz="0" w:space="0" w:color="auto"/>
        <w:left w:val="none" w:sz="0" w:space="0" w:color="auto"/>
        <w:bottom w:val="none" w:sz="0" w:space="0" w:color="auto"/>
        <w:right w:val="none" w:sz="0" w:space="0" w:color="auto"/>
      </w:divBdr>
    </w:div>
    <w:div w:id="653412449">
      <w:marLeft w:val="0"/>
      <w:marRight w:val="0"/>
      <w:marTop w:val="0"/>
      <w:marBottom w:val="0"/>
      <w:divBdr>
        <w:top w:val="none" w:sz="0" w:space="0" w:color="auto"/>
        <w:left w:val="none" w:sz="0" w:space="0" w:color="auto"/>
        <w:bottom w:val="none" w:sz="0" w:space="0" w:color="auto"/>
        <w:right w:val="none" w:sz="0" w:space="0" w:color="auto"/>
      </w:divBdr>
    </w:div>
    <w:div w:id="653412450">
      <w:marLeft w:val="0"/>
      <w:marRight w:val="0"/>
      <w:marTop w:val="0"/>
      <w:marBottom w:val="0"/>
      <w:divBdr>
        <w:top w:val="none" w:sz="0" w:space="0" w:color="auto"/>
        <w:left w:val="none" w:sz="0" w:space="0" w:color="auto"/>
        <w:bottom w:val="none" w:sz="0" w:space="0" w:color="auto"/>
        <w:right w:val="none" w:sz="0" w:space="0" w:color="auto"/>
      </w:divBdr>
    </w:div>
    <w:div w:id="653412451">
      <w:marLeft w:val="0"/>
      <w:marRight w:val="0"/>
      <w:marTop w:val="0"/>
      <w:marBottom w:val="0"/>
      <w:divBdr>
        <w:top w:val="none" w:sz="0" w:space="0" w:color="auto"/>
        <w:left w:val="none" w:sz="0" w:space="0" w:color="auto"/>
        <w:bottom w:val="none" w:sz="0" w:space="0" w:color="auto"/>
        <w:right w:val="none" w:sz="0" w:space="0" w:color="auto"/>
      </w:divBdr>
    </w:div>
    <w:div w:id="653412452">
      <w:marLeft w:val="0"/>
      <w:marRight w:val="0"/>
      <w:marTop w:val="0"/>
      <w:marBottom w:val="0"/>
      <w:divBdr>
        <w:top w:val="none" w:sz="0" w:space="0" w:color="auto"/>
        <w:left w:val="none" w:sz="0" w:space="0" w:color="auto"/>
        <w:bottom w:val="none" w:sz="0" w:space="0" w:color="auto"/>
        <w:right w:val="none" w:sz="0" w:space="0" w:color="auto"/>
      </w:divBdr>
      <w:divsChild>
        <w:div w:id="653412391">
          <w:marLeft w:val="0"/>
          <w:marRight w:val="0"/>
          <w:marTop w:val="0"/>
          <w:marBottom w:val="0"/>
          <w:divBdr>
            <w:top w:val="none" w:sz="0" w:space="0" w:color="auto"/>
            <w:left w:val="none" w:sz="0" w:space="0" w:color="auto"/>
            <w:bottom w:val="none" w:sz="0" w:space="0" w:color="auto"/>
            <w:right w:val="none" w:sz="0" w:space="0" w:color="auto"/>
          </w:divBdr>
        </w:div>
        <w:div w:id="653412394">
          <w:marLeft w:val="0"/>
          <w:marRight w:val="0"/>
          <w:marTop w:val="0"/>
          <w:marBottom w:val="0"/>
          <w:divBdr>
            <w:top w:val="none" w:sz="0" w:space="0" w:color="auto"/>
            <w:left w:val="none" w:sz="0" w:space="0" w:color="auto"/>
            <w:bottom w:val="none" w:sz="0" w:space="0" w:color="auto"/>
            <w:right w:val="none" w:sz="0" w:space="0" w:color="auto"/>
          </w:divBdr>
        </w:div>
        <w:div w:id="653412403">
          <w:marLeft w:val="0"/>
          <w:marRight w:val="0"/>
          <w:marTop w:val="0"/>
          <w:marBottom w:val="0"/>
          <w:divBdr>
            <w:top w:val="none" w:sz="0" w:space="0" w:color="auto"/>
            <w:left w:val="none" w:sz="0" w:space="0" w:color="auto"/>
            <w:bottom w:val="none" w:sz="0" w:space="0" w:color="auto"/>
            <w:right w:val="none" w:sz="0" w:space="0" w:color="auto"/>
          </w:divBdr>
        </w:div>
      </w:divsChild>
    </w:div>
    <w:div w:id="653412453">
      <w:marLeft w:val="0"/>
      <w:marRight w:val="0"/>
      <w:marTop w:val="0"/>
      <w:marBottom w:val="0"/>
      <w:divBdr>
        <w:top w:val="none" w:sz="0" w:space="0" w:color="auto"/>
        <w:left w:val="none" w:sz="0" w:space="0" w:color="auto"/>
        <w:bottom w:val="none" w:sz="0" w:space="0" w:color="auto"/>
        <w:right w:val="none" w:sz="0" w:space="0" w:color="auto"/>
      </w:divBdr>
    </w:div>
    <w:div w:id="653412454">
      <w:marLeft w:val="0"/>
      <w:marRight w:val="0"/>
      <w:marTop w:val="0"/>
      <w:marBottom w:val="0"/>
      <w:divBdr>
        <w:top w:val="none" w:sz="0" w:space="0" w:color="auto"/>
        <w:left w:val="none" w:sz="0" w:space="0" w:color="auto"/>
        <w:bottom w:val="none" w:sz="0" w:space="0" w:color="auto"/>
        <w:right w:val="none" w:sz="0" w:space="0" w:color="auto"/>
      </w:divBdr>
    </w:div>
    <w:div w:id="653412455">
      <w:marLeft w:val="0"/>
      <w:marRight w:val="0"/>
      <w:marTop w:val="0"/>
      <w:marBottom w:val="0"/>
      <w:divBdr>
        <w:top w:val="none" w:sz="0" w:space="0" w:color="auto"/>
        <w:left w:val="none" w:sz="0" w:space="0" w:color="auto"/>
        <w:bottom w:val="none" w:sz="0" w:space="0" w:color="auto"/>
        <w:right w:val="none" w:sz="0" w:space="0" w:color="auto"/>
      </w:divBdr>
    </w:div>
    <w:div w:id="653412456">
      <w:marLeft w:val="0"/>
      <w:marRight w:val="0"/>
      <w:marTop w:val="0"/>
      <w:marBottom w:val="0"/>
      <w:divBdr>
        <w:top w:val="none" w:sz="0" w:space="0" w:color="auto"/>
        <w:left w:val="none" w:sz="0" w:space="0" w:color="auto"/>
        <w:bottom w:val="none" w:sz="0" w:space="0" w:color="auto"/>
        <w:right w:val="none" w:sz="0" w:space="0" w:color="auto"/>
      </w:divBdr>
    </w:div>
    <w:div w:id="653412457">
      <w:marLeft w:val="0"/>
      <w:marRight w:val="0"/>
      <w:marTop w:val="0"/>
      <w:marBottom w:val="0"/>
      <w:divBdr>
        <w:top w:val="none" w:sz="0" w:space="0" w:color="auto"/>
        <w:left w:val="none" w:sz="0" w:space="0" w:color="auto"/>
        <w:bottom w:val="none" w:sz="0" w:space="0" w:color="auto"/>
        <w:right w:val="none" w:sz="0" w:space="0" w:color="auto"/>
      </w:divBdr>
    </w:div>
    <w:div w:id="653412458">
      <w:marLeft w:val="0"/>
      <w:marRight w:val="0"/>
      <w:marTop w:val="0"/>
      <w:marBottom w:val="0"/>
      <w:divBdr>
        <w:top w:val="none" w:sz="0" w:space="0" w:color="auto"/>
        <w:left w:val="none" w:sz="0" w:space="0" w:color="auto"/>
        <w:bottom w:val="none" w:sz="0" w:space="0" w:color="auto"/>
        <w:right w:val="none" w:sz="0" w:space="0" w:color="auto"/>
      </w:divBdr>
    </w:div>
    <w:div w:id="653412459">
      <w:marLeft w:val="0"/>
      <w:marRight w:val="0"/>
      <w:marTop w:val="0"/>
      <w:marBottom w:val="0"/>
      <w:divBdr>
        <w:top w:val="none" w:sz="0" w:space="0" w:color="auto"/>
        <w:left w:val="none" w:sz="0" w:space="0" w:color="auto"/>
        <w:bottom w:val="none" w:sz="0" w:space="0" w:color="auto"/>
        <w:right w:val="none" w:sz="0" w:space="0" w:color="auto"/>
      </w:divBdr>
    </w:div>
    <w:div w:id="653412460">
      <w:marLeft w:val="0"/>
      <w:marRight w:val="0"/>
      <w:marTop w:val="0"/>
      <w:marBottom w:val="0"/>
      <w:divBdr>
        <w:top w:val="none" w:sz="0" w:space="0" w:color="auto"/>
        <w:left w:val="none" w:sz="0" w:space="0" w:color="auto"/>
        <w:bottom w:val="none" w:sz="0" w:space="0" w:color="auto"/>
        <w:right w:val="none" w:sz="0" w:space="0" w:color="auto"/>
      </w:divBdr>
    </w:div>
    <w:div w:id="653412461">
      <w:marLeft w:val="0"/>
      <w:marRight w:val="0"/>
      <w:marTop w:val="0"/>
      <w:marBottom w:val="0"/>
      <w:divBdr>
        <w:top w:val="none" w:sz="0" w:space="0" w:color="auto"/>
        <w:left w:val="none" w:sz="0" w:space="0" w:color="auto"/>
        <w:bottom w:val="none" w:sz="0" w:space="0" w:color="auto"/>
        <w:right w:val="none" w:sz="0" w:space="0" w:color="auto"/>
      </w:divBdr>
    </w:div>
    <w:div w:id="653412462">
      <w:marLeft w:val="0"/>
      <w:marRight w:val="0"/>
      <w:marTop w:val="0"/>
      <w:marBottom w:val="0"/>
      <w:divBdr>
        <w:top w:val="none" w:sz="0" w:space="0" w:color="auto"/>
        <w:left w:val="none" w:sz="0" w:space="0" w:color="auto"/>
        <w:bottom w:val="none" w:sz="0" w:space="0" w:color="auto"/>
        <w:right w:val="none" w:sz="0" w:space="0" w:color="auto"/>
      </w:divBdr>
    </w:div>
    <w:div w:id="653412463">
      <w:marLeft w:val="0"/>
      <w:marRight w:val="0"/>
      <w:marTop w:val="0"/>
      <w:marBottom w:val="0"/>
      <w:divBdr>
        <w:top w:val="none" w:sz="0" w:space="0" w:color="auto"/>
        <w:left w:val="none" w:sz="0" w:space="0" w:color="auto"/>
        <w:bottom w:val="none" w:sz="0" w:space="0" w:color="auto"/>
        <w:right w:val="none" w:sz="0" w:space="0" w:color="auto"/>
      </w:divBdr>
    </w:div>
    <w:div w:id="653412464">
      <w:marLeft w:val="0"/>
      <w:marRight w:val="0"/>
      <w:marTop w:val="0"/>
      <w:marBottom w:val="0"/>
      <w:divBdr>
        <w:top w:val="none" w:sz="0" w:space="0" w:color="auto"/>
        <w:left w:val="none" w:sz="0" w:space="0" w:color="auto"/>
        <w:bottom w:val="none" w:sz="0" w:space="0" w:color="auto"/>
        <w:right w:val="none" w:sz="0" w:space="0" w:color="auto"/>
      </w:divBdr>
    </w:div>
    <w:div w:id="653412465">
      <w:marLeft w:val="0"/>
      <w:marRight w:val="0"/>
      <w:marTop w:val="0"/>
      <w:marBottom w:val="0"/>
      <w:divBdr>
        <w:top w:val="none" w:sz="0" w:space="0" w:color="auto"/>
        <w:left w:val="none" w:sz="0" w:space="0" w:color="auto"/>
        <w:bottom w:val="none" w:sz="0" w:space="0" w:color="auto"/>
        <w:right w:val="none" w:sz="0" w:space="0" w:color="auto"/>
      </w:divBdr>
    </w:div>
    <w:div w:id="653412466">
      <w:marLeft w:val="0"/>
      <w:marRight w:val="0"/>
      <w:marTop w:val="0"/>
      <w:marBottom w:val="0"/>
      <w:divBdr>
        <w:top w:val="none" w:sz="0" w:space="0" w:color="auto"/>
        <w:left w:val="none" w:sz="0" w:space="0" w:color="auto"/>
        <w:bottom w:val="none" w:sz="0" w:space="0" w:color="auto"/>
        <w:right w:val="none" w:sz="0" w:space="0" w:color="auto"/>
      </w:divBdr>
    </w:div>
    <w:div w:id="653412467">
      <w:marLeft w:val="0"/>
      <w:marRight w:val="0"/>
      <w:marTop w:val="0"/>
      <w:marBottom w:val="0"/>
      <w:divBdr>
        <w:top w:val="none" w:sz="0" w:space="0" w:color="auto"/>
        <w:left w:val="none" w:sz="0" w:space="0" w:color="auto"/>
        <w:bottom w:val="none" w:sz="0" w:space="0" w:color="auto"/>
        <w:right w:val="none" w:sz="0" w:space="0" w:color="auto"/>
      </w:divBdr>
    </w:div>
    <w:div w:id="653412468">
      <w:marLeft w:val="0"/>
      <w:marRight w:val="0"/>
      <w:marTop w:val="0"/>
      <w:marBottom w:val="0"/>
      <w:divBdr>
        <w:top w:val="none" w:sz="0" w:space="0" w:color="auto"/>
        <w:left w:val="none" w:sz="0" w:space="0" w:color="auto"/>
        <w:bottom w:val="none" w:sz="0" w:space="0" w:color="auto"/>
        <w:right w:val="none" w:sz="0" w:space="0" w:color="auto"/>
      </w:divBdr>
    </w:div>
    <w:div w:id="685714740">
      <w:bodyDiv w:val="1"/>
      <w:marLeft w:val="0"/>
      <w:marRight w:val="0"/>
      <w:marTop w:val="0"/>
      <w:marBottom w:val="0"/>
      <w:divBdr>
        <w:top w:val="none" w:sz="0" w:space="0" w:color="auto"/>
        <w:left w:val="none" w:sz="0" w:space="0" w:color="auto"/>
        <w:bottom w:val="none" w:sz="0" w:space="0" w:color="auto"/>
        <w:right w:val="none" w:sz="0" w:space="0" w:color="auto"/>
      </w:divBdr>
    </w:div>
    <w:div w:id="726536302">
      <w:bodyDiv w:val="1"/>
      <w:marLeft w:val="0"/>
      <w:marRight w:val="0"/>
      <w:marTop w:val="0"/>
      <w:marBottom w:val="0"/>
      <w:divBdr>
        <w:top w:val="none" w:sz="0" w:space="0" w:color="auto"/>
        <w:left w:val="none" w:sz="0" w:space="0" w:color="auto"/>
        <w:bottom w:val="none" w:sz="0" w:space="0" w:color="auto"/>
        <w:right w:val="none" w:sz="0" w:space="0" w:color="auto"/>
      </w:divBdr>
    </w:div>
    <w:div w:id="737364780">
      <w:bodyDiv w:val="1"/>
      <w:marLeft w:val="0"/>
      <w:marRight w:val="0"/>
      <w:marTop w:val="0"/>
      <w:marBottom w:val="0"/>
      <w:divBdr>
        <w:top w:val="none" w:sz="0" w:space="0" w:color="auto"/>
        <w:left w:val="none" w:sz="0" w:space="0" w:color="auto"/>
        <w:bottom w:val="none" w:sz="0" w:space="0" w:color="auto"/>
        <w:right w:val="none" w:sz="0" w:space="0" w:color="auto"/>
      </w:divBdr>
    </w:div>
    <w:div w:id="885218692">
      <w:bodyDiv w:val="1"/>
      <w:marLeft w:val="0"/>
      <w:marRight w:val="0"/>
      <w:marTop w:val="0"/>
      <w:marBottom w:val="0"/>
      <w:divBdr>
        <w:top w:val="none" w:sz="0" w:space="0" w:color="auto"/>
        <w:left w:val="none" w:sz="0" w:space="0" w:color="auto"/>
        <w:bottom w:val="none" w:sz="0" w:space="0" w:color="auto"/>
        <w:right w:val="none" w:sz="0" w:space="0" w:color="auto"/>
      </w:divBdr>
    </w:div>
    <w:div w:id="935676088">
      <w:bodyDiv w:val="1"/>
      <w:marLeft w:val="0"/>
      <w:marRight w:val="0"/>
      <w:marTop w:val="0"/>
      <w:marBottom w:val="0"/>
      <w:divBdr>
        <w:top w:val="none" w:sz="0" w:space="0" w:color="auto"/>
        <w:left w:val="none" w:sz="0" w:space="0" w:color="auto"/>
        <w:bottom w:val="none" w:sz="0" w:space="0" w:color="auto"/>
        <w:right w:val="none" w:sz="0" w:space="0" w:color="auto"/>
      </w:divBdr>
    </w:div>
    <w:div w:id="1036004366">
      <w:bodyDiv w:val="1"/>
      <w:marLeft w:val="0"/>
      <w:marRight w:val="0"/>
      <w:marTop w:val="0"/>
      <w:marBottom w:val="0"/>
      <w:divBdr>
        <w:top w:val="none" w:sz="0" w:space="0" w:color="auto"/>
        <w:left w:val="none" w:sz="0" w:space="0" w:color="auto"/>
        <w:bottom w:val="none" w:sz="0" w:space="0" w:color="auto"/>
        <w:right w:val="none" w:sz="0" w:space="0" w:color="auto"/>
      </w:divBdr>
    </w:div>
    <w:div w:id="1098987052">
      <w:bodyDiv w:val="1"/>
      <w:marLeft w:val="0"/>
      <w:marRight w:val="0"/>
      <w:marTop w:val="0"/>
      <w:marBottom w:val="0"/>
      <w:divBdr>
        <w:top w:val="none" w:sz="0" w:space="0" w:color="auto"/>
        <w:left w:val="none" w:sz="0" w:space="0" w:color="auto"/>
        <w:bottom w:val="none" w:sz="0" w:space="0" w:color="auto"/>
        <w:right w:val="none" w:sz="0" w:space="0" w:color="auto"/>
      </w:divBdr>
    </w:div>
    <w:div w:id="1273169462">
      <w:bodyDiv w:val="1"/>
      <w:marLeft w:val="0"/>
      <w:marRight w:val="0"/>
      <w:marTop w:val="0"/>
      <w:marBottom w:val="0"/>
      <w:divBdr>
        <w:top w:val="none" w:sz="0" w:space="0" w:color="auto"/>
        <w:left w:val="none" w:sz="0" w:space="0" w:color="auto"/>
        <w:bottom w:val="none" w:sz="0" w:space="0" w:color="auto"/>
        <w:right w:val="none" w:sz="0" w:space="0" w:color="auto"/>
      </w:divBdr>
    </w:div>
    <w:div w:id="1365325573">
      <w:bodyDiv w:val="1"/>
      <w:marLeft w:val="0"/>
      <w:marRight w:val="0"/>
      <w:marTop w:val="0"/>
      <w:marBottom w:val="0"/>
      <w:divBdr>
        <w:top w:val="none" w:sz="0" w:space="0" w:color="auto"/>
        <w:left w:val="none" w:sz="0" w:space="0" w:color="auto"/>
        <w:bottom w:val="none" w:sz="0" w:space="0" w:color="auto"/>
        <w:right w:val="none" w:sz="0" w:space="0" w:color="auto"/>
      </w:divBdr>
    </w:div>
    <w:div w:id="1545410965">
      <w:bodyDiv w:val="1"/>
      <w:marLeft w:val="0"/>
      <w:marRight w:val="0"/>
      <w:marTop w:val="0"/>
      <w:marBottom w:val="0"/>
      <w:divBdr>
        <w:top w:val="none" w:sz="0" w:space="0" w:color="auto"/>
        <w:left w:val="none" w:sz="0" w:space="0" w:color="auto"/>
        <w:bottom w:val="none" w:sz="0" w:space="0" w:color="auto"/>
        <w:right w:val="none" w:sz="0" w:space="0" w:color="auto"/>
      </w:divBdr>
    </w:div>
    <w:div w:id="177046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ormattiva.it/uri-res/N2Ls?urn:nir:stato:legge:2016-12-11;232!vig=" TargetMode="External"/><Relationship Id="rId21" Type="http://schemas.openxmlformats.org/officeDocument/2006/relationships/hyperlink" Target="http://www.normattiva.it/uri-res/N2Ls?urn:nir:stato:decreto.legislativo:2011-06-23;118!vig=" TargetMode="External"/><Relationship Id="rId42" Type="http://schemas.openxmlformats.org/officeDocument/2006/relationships/hyperlink" Target="http://www.normattiva.it/uri-res/N2Ls?urn:nir:stato:decreto.legge:2001-12-28;448~art19!vig=" TargetMode="External"/><Relationship Id="rId63" Type="http://schemas.openxmlformats.org/officeDocument/2006/relationships/hyperlink" Target="http://www.rgs.mef.gov.it/_Documenti/VERSIONE-I/e-GOVERNME1/ARCONET/PRINCIPICONTABILI/All_4-2_Principio_applicato_contabilitx_finanziaria_con_variazioni.doc" TargetMode="External"/><Relationship Id="rId84" Type="http://schemas.openxmlformats.org/officeDocument/2006/relationships/image" Target="media/image8.emf"/><Relationship Id="rId138" Type="http://schemas.openxmlformats.org/officeDocument/2006/relationships/image" Target="media/image20.emf"/><Relationship Id="rId159" Type="http://schemas.openxmlformats.org/officeDocument/2006/relationships/hyperlink" Target="http://www.normattiva.it/uri-res/N2Ls?urn:nir:stato:decreto.legge:2010-05-31;78~art6!vig=" TargetMode="External"/><Relationship Id="rId170" Type="http://schemas.openxmlformats.org/officeDocument/2006/relationships/package" Target="embeddings/Microsoft_Excel_Worksheet20.xlsx"/><Relationship Id="rId191" Type="http://schemas.openxmlformats.org/officeDocument/2006/relationships/hyperlink" Target="http://bd01.leggiditalia.it/cgi-bin/FulShow?TIPO=5&amp;NOTXT=1&amp;KEY=01LX0000783143ART13" TargetMode="External"/><Relationship Id="rId205" Type="http://schemas.openxmlformats.org/officeDocument/2006/relationships/package" Target="embeddings/Microsoft_Excel_Worksheet26.xlsx"/><Relationship Id="rId226" Type="http://schemas.openxmlformats.org/officeDocument/2006/relationships/hyperlink" Target="http://www.normattiva.it/uri-res/N2Ls?urn:nir:stato:legge:2009-12-31;196~art13!vig=" TargetMode="External"/><Relationship Id="rId247" Type="http://schemas.openxmlformats.org/officeDocument/2006/relationships/theme" Target="theme/theme1.xml"/><Relationship Id="rId107" Type="http://schemas.openxmlformats.org/officeDocument/2006/relationships/hyperlink" Target="http://www.normattiva.it/uri-res/N2Ls?urn:nir:stato:decreto.legislativo:2000-08-18;267~art239!vig=" TargetMode="External"/><Relationship Id="rId11" Type="http://schemas.openxmlformats.org/officeDocument/2006/relationships/hyperlink" Target="http://www.normattiva.it/uri-res/N2Ls?urn:nir:stato:legge:2016-08-12;164!vig=" TargetMode="External"/><Relationship Id="rId32" Type="http://schemas.openxmlformats.org/officeDocument/2006/relationships/hyperlink" Target="http://www.normattiva.it/uri-res/N2Ls?urn:nir:stato:legge:1971-10-22;865!vig=" TargetMode="External"/><Relationship Id="rId53" Type="http://schemas.openxmlformats.org/officeDocument/2006/relationships/hyperlink" Target="http://www.normattiva.it/uri-res/N2Ls?urn:nir:stato:decreto.legislativo:2000-08-18;267~art153!vig=" TargetMode="External"/><Relationship Id="rId74" Type="http://schemas.openxmlformats.org/officeDocument/2006/relationships/hyperlink" Target="http://www.normattiva.it/uri-res/N2Ls?urn:nir:stato:decreto.legislativo:2000-08-18;267~art183!vig=" TargetMode="External"/><Relationship Id="rId128" Type="http://schemas.openxmlformats.org/officeDocument/2006/relationships/hyperlink" Target="http://www.normattiva.it/uri-res/N2Ls?urn:nir:stato:decreto.legislativo:1992-04-30;285~art142!vig=" TargetMode="External"/><Relationship Id="rId149" Type="http://schemas.openxmlformats.org/officeDocument/2006/relationships/hyperlink" Target="http://www.normattiva.it/uri-res/N2Ls?urn:nir:stato:legge:2015-12-28;208!vig=" TargetMode="External"/><Relationship Id="rId5" Type="http://schemas.openxmlformats.org/officeDocument/2006/relationships/settings" Target="settings.xml"/><Relationship Id="rId95" Type="http://schemas.openxmlformats.org/officeDocument/2006/relationships/hyperlink" Target="http://www.normattiva.it/uri-res/N2Ls?urn:nir:stato:decreto.legislativo:2011-06-23;118~art11!vig=" TargetMode="External"/><Relationship Id="rId160" Type="http://schemas.openxmlformats.org/officeDocument/2006/relationships/hyperlink" Target="http://www.normattiva.it/uri-res/N2Ls?urn:nir:stato:decreto.legge:2016-12-30;244~art13!vig=" TargetMode="External"/><Relationship Id="rId181" Type="http://schemas.openxmlformats.org/officeDocument/2006/relationships/hyperlink" Target="http://www.rgs.mef.gov.it/_Documenti/VERSIONE-I/e-GOVERNME1/ARCONET/PRINCIPICONTABILI/All_4-2_Principio_applicato_contabilitx_finanziaria_con_variazioni.doc" TargetMode="External"/><Relationship Id="rId216" Type="http://schemas.openxmlformats.org/officeDocument/2006/relationships/package" Target="embeddings/Microsoft_Excel_Worksheet28.xlsx"/><Relationship Id="rId237" Type="http://schemas.openxmlformats.org/officeDocument/2006/relationships/hyperlink" Target="http://www.rgs.mef.gov.it/_Documenti/VERSIONE-I/e-GOVERNME1/ARCONET/PRINCIPICONTABILI/All_4-1_Principio_applicato_della_Programmazione_con_variazioni.doc" TargetMode="External"/><Relationship Id="rId22" Type="http://schemas.openxmlformats.org/officeDocument/2006/relationships/hyperlink" Target="http://www.rgs.mef.gov.it/VERSIONE-I/e-GOVERNME1/ARCONET/PrincipiContabili/" TargetMode="External"/><Relationship Id="rId43" Type="http://schemas.openxmlformats.org/officeDocument/2006/relationships/hyperlink" Target="http://www.normattiva.it/uri-res/N2Ls?urn:nir:stato:legge:2007-12-24;244~art2!vig=" TargetMode="External"/><Relationship Id="rId64" Type="http://schemas.openxmlformats.org/officeDocument/2006/relationships/hyperlink" Target="http://www.normattiva.it/uri-res/N2Ls?urn:nir:stato:decreto.legislativo:2011-06-23;118!vig=" TargetMode="External"/><Relationship Id="rId118" Type="http://schemas.openxmlformats.org/officeDocument/2006/relationships/hyperlink" Target="http://www.normattiva.it/uri-res/N2Ls?urn:nir:stato:legge:2013-12-27;147!vig=" TargetMode="External"/><Relationship Id="rId139" Type="http://schemas.openxmlformats.org/officeDocument/2006/relationships/package" Target="embeddings/Microsoft_Excel_Worksheet16.xlsx"/><Relationship Id="rId85" Type="http://schemas.openxmlformats.org/officeDocument/2006/relationships/oleObject" Target="embeddings/Microsoft_Excel_97-2003_Worksheet4.xls"/><Relationship Id="rId150" Type="http://schemas.openxmlformats.org/officeDocument/2006/relationships/hyperlink" Target="http://www.normattiva.it/uri-res/N2Ls?urn:nir:stato:decreto.legge:2014-04-24;66~art42!vig=" TargetMode="External"/><Relationship Id="rId171" Type="http://schemas.openxmlformats.org/officeDocument/2006/relationships/image" Target="media/image25.emf"/><Relationship Id="rId192" Type="http://schemas.openxmlformats.org/officeDocument/2006/relationships/hyperlink" Target="http://www.normattiva.it/uri-res/N2Ls?urn:nir:stato:decreto.legge:2013-04-08;35!vig=2013-08-081vig=" TargetMode="External"/><Relationship Id="rId206" Type="http://schemas.openxmlformats.org/officeDocument/2006/relationships/image" Target="media/image32.emf"/><Relationship Id="rId227" Type="http://schemas.openxmlformats.org/officeDocument/2006/relationships/hyperlink" Target="http://www.normattiva.it/uri-res/N2Ls?urn:nir:stato:legge:2015-12-28;208!vig=" TargetMode="External"/><Relationship Id="rId12" Type="http://schemas.openxmlformats.org/officeDocument/2006/relationships/hyperlink" Target="http://www.normattiva.it/uri-res/N2Ls?urn:nir:stato:legge:2012-12-24;243~art9!vig=" TargetMode="External"/><Relationship Id="rId17" Type="http://schemas.openxmlformats.org/officeDocument/2006/relationships/hyperlink" Target="http://www.cndcec.it/Portal/Documenti/Dettaglio.aspx?id=e1f347bf-ee14-46de-9a36-ee41e0534ea0" TargetMode="External"/><Relationship Id="rId33" Type="http://schemas.openxmlformats.org/officeDocument/2006/relationships/hyperlink" Target="http://www.normattiva.it/uri-res/N2Ls?urn:nir:stato:legge:1978;457!vig=" TargetMode="External"/><Relationship Id="rId38" Type="http://schemas.openxmlformats.org/officeDocument/2006/relationships/hyperlink" Target="http://www.normattiva.it/uri-res/N2Ls?urn:nir:stato:decreto.legislativo:2006-04-12;163~art128!vig=" TargetMode="External"/><Relationship Id="rId59" Type="http://schemas.openxmlformats.org/officeDocument/2006/relationships/image" Target="media/image2.emf"/><Relationship Id="rId103" Type="http://schemas.openxmlformats.org/officeDocument/2006/relationships/hyperlink" Target="http://www.normattiva.it/uri-res/N2Ls?urn:nir:stato:legge:1997-12-27;449~art39!vig=" TargetMode="External"/><Relationship Id="rId108" Type="http://schemas.openxmlformats.org/officeDocument/2006/relationships/hyperlink" Target="http://www.normattiva.it/uri-res/N2Ls?urn:nir:stato:legge:2008-08-06;133!vig=" TargetMode="External"/><Relationship Id="rId124" Type="http://schemas.openxmlformats.org/officeDocument/2006/relationships/package" Target="embeddings/Microsoft_Excel_Worksheet11.xlsx"/><Relationship Id="rId129" Type="http://schemas.openxmlformats.org/officeDocument/2006/relationships/hyperlink" Target="http://www.normattiva.it/uri-res/N2Ls?urn:nir:stato:decreto.legislativo:1992-04-30;285~art142!vig=" TargetMode="External"/><Relationship Id="rId54" Type="http://schemas.openxmlformats.org/officeDocument/2006/relationships/hyperlink" Target="http://www.normattiva.it/uri-res/N2Ls?urn:nir:stato:decreto.legislativo:2000-08-18;267~art239!vig=" TargetMode="External"/><Relationship Id="rId70" Type="http://schemas.openxmlformats.org/officeDocument/2006/relationships/hyperlink" Target="http://www.normattiva.it/uri-res/N2Ls?urn:nir:stato:decreto.legislativo:2011-06-23;118~art3!vig=" TargetMode="External"/><Relationship Id="rId75" Type="http://schemas.openxmlformats.org/officeDocument/2006/relationships/image" Target="media/image5.emf"/><Relationship Id="rId91" Type="http://schemas.openxmlformats.org/officeDocument/2006/relationships/image" Target="media/image10.emf"/><Relationship Id="rId96" Type="http://schemas.openxmlformats.org/officeDocument/2006/relationships/hyperlink" Target="http://www.normattiva.it/uri-res/N2Ls?urn:nir:stato:decreto.legislativo:2000-08-18;267~art172!vig=" TargetMode="External"/><Relationship Id="rId140" Type="http://schemas.openxmlformats.org/officeDocument/2006/relationships/image" Target="media/image21.emf"/><Relationship Id="rId145" Type="http://schemas.openxmlformats.org/officeDocument/2006/relationships/hyperlink" Target="http://www.normattiva.it/uri-res/N2Ls?urn:nir:stato:legge:2015-12-28;208!vig=" TargetMode="External"/><Relationship Id="rId161" Type="http://schemas.openxmlformats.org/officeDocument/2006/relationships/hyperlink" Target="http://www.normattiva.it/uri-res/N2Ls?urn:nir:stato:legge:2007-12-24;244~art2!vig=" TargetMode="External"/><Relationship Id="rId166" Type="http://schemas.openxmlformats.org/officeDocument/2006/relationships/hyperlink" Target="http://www.cortecostituzionale.it/actionSchedaPronuncia.do?anno=2012&amp;numero=139" TargetMode="External"/><Relationship Id="rId182" Type="http://schemas.openxmlformats.org/officeDocument/2006/relationships/hyperlink" Target="http://www.normattiva.it/uri-res/N2Ls?urn:nir:stato:decreto.legislativo:2011-06-23;118!vig=" TargetMode="External"/><Relationship Id="rId187" Type="http://schemas.openxmlformats.org/officeDocument/2006/relationships/image" Target="media/image28.emf"/><Relationship Id="rId217" Type="http://schemas.openxmlformats.org/officeDocument/2006/relationships/hyperlink" Target="http://www.normattiva.it/uri-res/N2Ls?urn:nir:stato:decreto.legislativo:2000-08-18;267~art204!vig="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www.normattiva.it/uri-res/N2Ls?urn:nir:stato:decreto.legislativo:2000-08-18;267~art204!vig=" TargetMode="External"/><Relationship Id="rId233" Type="http://schemas.openxmlformats.org/officeDocument/2006/relationships/hyperlink" Target="http://www.normattiva.it/uri-res/N2Ls?urn:nir:stato:decreto.legislativo:2011-06-23;118!vig=" TargetMode="External"/><Relationship Id="rId238" Type="http://schemas.openxmlformats.org/officeDocument/2006/relationships/hyperlink" Target="http://www.rgs.mef.gov.it/_Documenti/VERSIONE-I/e-GOVERNME1/ARCONET/PRINCIPICONTABILI/All_4-2_Principio_applicato_contabilitx_finanziaria_con_variazioni.doc" TargetMode="External"/><Relationship Id="rId23" Type="http://schemas.openxmlformats.org/officeDocument/2006/relationships/hyperlink" Target="http://www.normattiva.it/uri-res/N2Ls?urn:nir:stato:decreto.legislativo:2000-08-18;267!vig=" TargetMode="External"/><Relationship Id="rId28" Type="http://schemas.openxmlformats.org/officeDocument/2006/relationships/hyperlink" Target="http://www.normattiva.it/uri-res/N2Ls?urn:nir:stato:decreto.legislativo:2011-06-23;118!vig=" TargetMode="External"/><Relationship Id="rId49" Type="http://schemas.openxmlformats.org/officeDocument/2006/relationships/hyperlink" Target="http://www.normattiva.it/uri-res/N2Ls?urn:nir:stato:decreto.legge:2010-05-31;78~art9!vig=" TargetMode="External"/><Relationship Id="rId114" Type="http://schemas.openxmlformats.org/officeDocument/2006/relationships/hyperlink" Target="http://www.normattiva.it/uri-res/N2Ls?urn:nir:stato:decreto.legge:2010-05-31;78~art9!vig=" TargetMode="External"/><Relationship Id="rId119" Type="http://schemas.openxmlformats.org/officeDocument/2006/relationships/image" Target="media/image13.emf"/><Relationship Id="rId44" Type="http://schemas.openxmlformats.org/officeDocument/2006/relationships/hyperlink" Target="http://www.normattiva.it/uri-res/N2Ls?urn:nir:stato:decreto.legge:2008-06-25;112~art58!vig=" TargetMode="External"/><Relationship Id="rId60" Type="http://schemas.openxmlformats.org/officeDocument/2006/relationships/package" Target="embeddings/Microsoft_Excel_Worksheet2.xlsx"/><Relationship Id="rId65" Type="http://schemas.openxmlformats.org/officeDocument/2006/relationships/image" Target="media/image3.emf"/><Relationship Id="rId81" Type="http://schemas.openxmlformats.org/officeDocument/2006/relationships/image" Target="media/image7.emf"/><Relationship Id="rId86" Type="http://schemas.openxmlformats.org/officeDocument/2006/relationships/hyperlink" Target="http://www.normattiva.it/uri-res/N2Ls?urn:nir:stato:legge:2009-12-31;196~art25!vig=" TargetMode="External"/><Relationship Id="rId130" Type="http://schemas.openxmlformats.org/officeDocument/2006/relationships/hyperlink" Target="http://www.normattiva.it/uri-res/N2Ls?urn:nir:stato:decreto.legislativo:1992-04-30;285~art208!vig=" TargetMode="External"/><Relationship Id="rId135" Type="http://schemas.openxmlformats.org/officeDocument/2006/relationships/package" Target="embeddings/Microsoft_Excel_Worksheet14.xlsx"/><Relationship Id="rId151" Type="http://schemas.openxmlformats.org/officeDocument/2006/relationships/hyperlink" Target="http://www.normattiva.it/uri-res/N2Ls?urn:nir:stato:decreto.legislativo:2009-10-27;150~art10!vig=" TargetMode="External"/><Relationship Id="rId156" Type="http://schemas.openxmlformats.org/officeDocument/2006/relationships/hyperlink" Target="http://www.normattiva.it/uri-res/N2Ls?urn:nir:stato:decreto.legge:2008-06-25;112~art46!vig=" TargetMode="External"/><Relationship Id="rId177" Type="http://schemas.openxmlformats.org/officeDocument/2006/relationships/package" Target="embeddings/Microsoft_Excel_Worksheet23.xlsx"/><Relationship Id="rId198" Type="http://schemas.openxmlformats.org/officeDocument/2006/relationships/hyperlink" Target="http://www.normattiva.it/uri-res/N2Ls?urn:nir:stato:decreto.legislativo:2016-08-19;175~art21!vig=" TargetMode="External"/><Relationship Id="rId172" Type="http://schemas.openxmlformats.org/officeDocument/2006/relationships/package" Target="embeddings/Microsoft_Excel_Worksheet21.xlsx"/><Relationship Id="rId193" Type="http://schemas.openxmlformats.org/officeDocument/2006/relationships/hyperlink" Target="http://www.normattiva.it/uri-res/N2Ls?urn:nir:stato:decreto.legislativo:2016-08-19;175~art21!vig=" TargetMode="External"/><Relationship Id="rId202" Type="http://schemas.openxmlformats.org/officeDocument/2006/relationships/image" Target="media/image30.emf"/><Relationship Id="rId207" Type="http://schemas.openxmlformats.org/officeDocument/2006/relationships/package" Target="embeddings/Microsoft_Excel_Worksheet27.xlsx"/><Relationship Id="rId223" Type="http://schemas.openxmlformats.org/officeDocument/2006/relationships/package" Target="embeddings/Microsoft_Excel_Worksheet31.xlsx"/><Relationship Id="rId228" Type="http://schemas.openxmlformats.org/officeDocument/2006/relationships/hyperlink" Target="http://www.normattiva.it/uri-res/N2Ls?urn:nir:stato:decreto.legislativo:2011-06-23;118!vig=" TargetMode="External"/><Relationship Id="rId244" Type="http://schemas.openxmlformats.org/officeDocument/2006/relationships/footer" Target="footer1.xml"/><Relationship Id="rId13" Type="http://schemas.openxmlformats.org/officeDocument/2006/relationships/hyperlink" Target="http://www.normattiva.it/uri-res/N2Ls?urn:nir:stato:legge:2016-12-11;232!vig=" TargetMode="External"/><Relationship Id="rId18" Type="http://schemas.openxmlformats.org/officeDocument/2006/relationships/hyperlink" Target="http://www.normattiva.it/uri-res/N2Ls?urn:nir:stato:decreto.legge:2016-12-30;244~art5!vig=" TargetMode="External"/><Relationship Id="rId39" Type="http://schemas.openxmlformats.org/officeDocument/2006/relationships/hyperlink" Target="http://www.normattiva.it/uri-res/N2Ls?urn:nir:stato:decreto.legislativo:2000-08-18;267~art91!vig=" TargetMode="External"/><Relationship Id="rId109" Type="http://schemas.openxmlformats.org/officeDocument/2006/relationships/hyperlink" Target="http://www.normattiva.it/uri-res/N2Ls?urn:nir:stato:legge:2016-12-11;232!vig=" TargetMode="External"/><Relationship Id="rId34" Type="http://schemas.openxmlformats.org/officeDocument/2006/relationships/hyperlink" Target="http://www.gazzettaufficiale.it/eli/id/2013/03/06/13A01951/sg" TargetMode="External"/><Relationship Id="rId50" Type="http://schemas.openxmlformats.org/officeDocument/2006/relationships/hyperlink" Target="http://www.normattiva.it/uri-res/N2Ls?urn:nir:stato:legge:2012-12-24;228!vig=" TargetMode="External"/><Relationship Id="rId55" Type="http://schemas.openxmlformats.org/officeDocument/2006/relationships/hyperlink" Target="http://www.normattiva.it/uri-res/N2Ls?urn:nir:stato:decreto.legge:2014-09-12;133~art24!vig=" TargetMode="External"/><Relationship Id="rId76" Type="http://schemas.openxmlformats.org/officeDocument/2006/relationships/package" Target="embeddings/Microsoft_Excel_Worksheet4.xlsx"/><Relationship Id="rId97" Type="http://schemas.openxmlformats.org/officeDocument/2006/relationships/hyperlink" Target="http://www.rgs.mef.gov.it/_Documenti/VERSIONE-I/e-GOVERNME1/ARCONET/PRINCIPICONTABILI/All_4-1_Principio_applicato_della_Programmazione_con_variazioni.doc" TargetMode="External"/><Relationship Id="rId104" Type="http://schemas.openxmlformats.org/officeDocument/2006/relationships/hyperlink" Target="http://www.normattiva.it/uri-res/N2Ls?urn:nir:stato:decreto.legislativo:2001-03-30;165~art6!vig=" TargetMode="External"/><Relationship Id="rId120" Type="http://schemas.openxmlformats.org/officeDocument/2006/relationships/package" Target="embeddings/Microsoft_Excel_Worksheet9.xlsx"/><Relationship Id="rId125" Type="http://schemas.openxmlformats.org/officeDocument/2006/relationships/image" Target="media/image16.emf"/><Relationship Id="rId141" Type="http://schemas.openxmlformats.org/officeDocument/2006/relationships/package" Target="embeddings/Microsoft_Excel_Worksheet17.xlsx"/><Relationship Id="rId146" Type="http://schemas.openxmlformats.org/officeDocument/2006/relationships/hyperlink" Target="http://www.normattiva.it/uri-res/N2Ls?urn:nir:stato:legge:2006-12-27;296!vig=" TargetMode="External"/><Relationship Id="rId167" Type="http://schemas.openxmlformats.org/officeDocument/2006/relationships/hyperlink" Target="http://www.corteconti.it/export/sites/portalecdc/_documenti/controllo/sez_autonomie/2013/delibera_26_2013_qmig.pdf" TargetMode="External"/><Relationship Id="rId188" Type="http://schemas.openxmlformats.org/officeDocument/2006/relationships/oleObject" Target="embeddings/Microsoft_Excel_97-2003_Worksheet5.xls"/><Relationship Id="rId7" Type="http://schemas.openxmlformats.org/officeDocument/2006/relationships/footnotes" Target="footnotes.xml"/><Relationship Id="rId71" Type="http://schemas.openxmlformats.org/officeDocument/2006/relationships/hyperlink" Target="http://www.normattiva.it/uri-res/N2Ls?urn:nir:stato:decreto.legislativo:2011-06-23;118~art3!vig=" TargetMode="External"/><Relationship Id="rId92" Type="http://schemas.openxmlformats.org/officeDocument/2006/relationships/package" Target="embeddings/Microsoft_Excel_Worksheet6.xlsx"/><Relationship Id="rId162" Type="http://schemas.openxmlformats.org/officeDocument/2006/relationships/hyperlink" Target="http://www.normattiva.it/uri-res/N2Ls?urn:nir:stato:decreto.legge:2010-05-31;78~art6!vig=" TargetMode="External"/><Relationship Id="rId183" Type="http://schemas.openxmlformats.org/officeDocument/2006/relationships/hyperlink" Target="http://www.normattiva.it/uri-res/N2Ls?urn:nir:stato:legge:2013-12-27;147!vig=" TargetMode="External"/><Relationship Id="rId213" Type="http://schemas.openxmlformats.org/officeDocument/2006/relationships/hyperlink" Target="http://www.normattiva.it/uri-res/N2Ls?urn:nir:stato:decreto.legislativo:2000-08-18;267~art203!vig=" TargetMode="External"/><Relationship Id="rId218" Type="http://schemas.openxmlformats.org/officeDocument/2006/relationships/image" Target="media/image34.emf"/><Relationship Id="rId234" Type="http://schemas.openxmlformats.org/officeDocument/2006/relationships/hyperlink" Target="http://www.normattiva.it/uri-res/N2Ls?urn:nir:stato:decreto.legislativo:2000-08-18;267~art239!vig=" TargetMode="External"/><Relationship Id="rId239" Type="http://schemas.openxmlformats.org/officeDocument/2006/relationships/hyperlink" Target="http://www.normattiva.it/uri-res/N2Ls?urn:nir:stato:decreto.legislativo:2000-08-18;267~art162!vig=" TargetMode="External"/><Relationship Id="rId2" Type="http://schemas.openxmlformats.org/officeDocument/2006/relationships/numbering" Target="numbering.xml"/><Relationship Id="rId29" Type="http://schemas.openxmlformats.org/officeDocument/2006/relationships/hyperlink" Target="http://www.normattiva.it/uri-res/N2Ls?urn:nir:stato:decreto.legislativo:2011-06-23;118!vig=" TargetMode="External"/><Relationship Id="rId24" Type="http://schemas.openxmlformats.org/officeDocument/2006/relationships/hyperlink" Target="http://www.normattiva.it/do/atto/vediPdf?cdimg=011G016000900010110001&amp;dgu=2011-07-26&amp;art.dataPubblicazioneGazzetta=2011-07-26&amp;art.codiceRedazionale=011G0160" TargetMode="External"/><Relationship Id="rId40" Type="http://schemas.openxmlformats.org/officeDocument/2006/relationships/hyperlink" Target="http://finanzalocale.interno.it/docum/studi/varie/testounico267-2000.pdf" TargetMode="External"/><Relationship Id="rId45" Type="http://schemas.openxmlformats.org/officeDocument/2006/relationships/hyperlink" Target="http://www.normattiva.it/uri-res/N2Ls?urn:nir:stato:decreto.legge:2008-06-25;112~art46!vig=" TargetMode="External"/><Relationship Id="rId66" Type="http://schemas.openxmlformats.org/officeDocument/2006/relationships/oleObject" Target="embeddings/Microsoft_Excel_97-2003_Worksheet1.xls"/><Relationship Id="rId87" Type="http://schemas.openxmlformats.org/officeDocument/2006/relationships/hyperlink" Target="http://www.rgs.mef.gov.it/_Documenti/VERSIONE-I/e-GOVERNME1/ARCONET/PRINCIPICONTABILI/All_4-2_Principio_applicato_contabilitx_finanziaria_con_variazioni.doc" TargetMode="External"/><Relationship Id="rId110" Type="http://schemas.openxmlformats.org/officeDocument/2006/relationships/hyperlink" Target="http://www.normattiva.it/uri-res/N2Ls?urn:nir:stato:legge:2012-12-24;243~art9!vig=" TargetMode="External"/><Relationship Id="rId115" Type="http://schemas.openxmlformats.org/officeDocument/2006/relationships/image" Target="media/image12.emf"/><Relationship Id="rId131" Type="http://schemas.openxmlformats.org/officeDocument/2006/relationships/hyperlink" Target="http://www.normattiva.it/uri-res/N2Ls?urn:nir:stato:legge:2010-07-29;120!vig=" TargetMode="External"/><Relationship Id="rId136" Type="http://schemas.openxmlformats.org/officeDocument/2006/relationships/image" Target="media/image19.emf"/><Relationship Id="rId157" Type="http://schemas.openxmlformats.org/officeDocument/2006/relationships/hyperlink" Target="http://www.normattiva.it/uri-res/N2Ls?urn:nir:stato:legge:2008;133!vig=" TargetMode="External"/><Relationship Id="rId178" Type="http://schemas.openxmlformats.org/officeDocument/2006/relationships/hyperlink" Target="http://www.normattiva.it/uri-res/N2Ls?urn:nir:stato:decreto.legislativo:2000-08-18;267~art167!vig=" TargetMode="External"/><Relationship Id="rId61" Type="http://schemas.openxmlformats.org/officeDocument/2006/relationships/hyperlink" Target="http://www.normattiva.it/uri-res/N2Ls?urn:nir:stato:decreto.legislativo:2000-08-18;267~art188!vig=" TargetMode="External"/><Relationship Id="rId82" Type="http://schemas.openxmlformats.org/officeDocument/2006/relationships/oleObject" Target="embeddings/Microsoft_Excel_97-2003_Worksheet3.xls"/><Relationship Id="rId152" Type="http://schemas.openxmlformats.org/officeDocument/2006/relationships/hyperlink" Target="http://www.normattiva.it/uri-res/N2Ls?urn:nir:stato:decreto.legge:2001-12-28;448~art19!vig=" TargetMode="External"/><Relationship Id="rId173" Type="http://schemas.openxmlformats.org/officeDocument/2006/relationships/image" Target="media/image26.emf"/><Relationship Id="rId194" Type="http://schemas.openxmlformats.org/officeDocument/2006/relationships/hyperlink" Target="http://www.normattiva.it/uri-res/N2Ls?urn:nir:stato:legge:2013-12-27;147!vig=" TargetMode="External"/><Relationship Id="rId199" Type="http://schemas.openxmlformats.org/officeDocument/2006/relationships/image" Target="media/image29.emf"/><Relationship Id="rId203" Type="http://schemas.openxmlformats.org/officeDocument/2006/relationships/package" Target="embeddings/Microsoft_Excel_Worksheet25.xlsx"/><Relationship Id="rId208" Type="http://schemas.openxmlformats.org/officeDocument/2006/relationships/hyperlink" Target="http://www.normattiva.it/uri-res/N2Ls?urn:nir:stato:legge:2012-12-24;228!vig=" TargetMode="External"/><Relationship Id="rId229" Type="http://schemas.openxmlformats.org/officeDocument/2006/relationships/hyperlink" Target="http://www.rgs.mef.gov.it/_Documenti/VERSIONE-I/e-GOVERNME1/ARCONET/PRINCIPICONTABILI/Allegato_n_1_al_D.Lgs_118-2011_coordinato.doc" TargetMode="External"/><Relationship Id="rId19" Type="http://schemas.openxmlformats.org/officeDocument/2006/relationships/hyperlink" Target="http://www.normattiva.it/uri-res/N2Ls?urn:nir:stato:decreto.legislativo:2000-08-18;267!vig=" TargetMode="External"/><Relationship Id="rId224" Type="http://schemas.openxmlformats.org/officeDocument/2006/relationships/hyperlink" Target="http://www.normattiva.it/uri-res/N2Ls?urn:nir:stato:legge:2012-12-24;243~art10!vig=" TargetMode="External"/><Relationship Id="rId240" Type="http://schemas.openxmlformats.org/officeDocument/2006/relationships/hyperlink" Target="http://www.normattiva.it/uri-res/N2Ls?urn:nir:stato:decreto.legislativo:2011-06-23;118!vig=" TargetMode="External"/><Relationship Id="rId245" Type="http://schemas.openxmlformats.org/officeDocument/2006/relationships/footer" Target="footer2.xml"/><Relationship Id="rId14" Type="http://schemas.openxmlformats.org/officeDocument/2006/relationships/hyperlink" Target="http://www.normattiva.it/uri-res/N2Ls?urn:nir:stato:decreto.legislativo:2000-08-18;267!vig=" TargetMode="External"/><Relationship Id="rId30" Type="http://schemas.openxmlformats.org/officeDocument/2006/relationships/hyperlink" Target="http://www.normattiva.it/uri-res/N2Ls?urn:nir:stato:decreto.legislativo:2000-08-18;267~art172!vig=" TargetMode="External"/><Relationship Id="rId35" Type="http://schemas.openxmlformats.org/officeDocument/2006/relationships/hyperlink" Target="http://www.gazzettaufficiale.it/eli/id/2015/12/21/15A09458/sg" TargetMode="External"/><Relationship Id="rId56" Type="http://schemas.openxmlformats.org/officeDocument/2006/relationships/hyperlink" Target="http://www.normattiva.it/uri-res/N2Ls?urn:nir:stato:decreto.legislativo:2000-08-18;267~art187!vig=" TargetMode="External"/><Relationship Id="rId77" Type="http://schemas.openxmlformats.org/officeDocument/2006/relationships/image" Target="media/image6.emf"/><Relationship Id="rId100" Type="http://schemas.openxmlformats.org/officeDocument/2006/relationships/hyperlink" Target="http://www.normattiva.it/uri-res/N2Ls?urn:nir:stato:decreto.legislativo:2006-04-12;163~art128!vig=" TargetMode="External"/><Relationship Id="rId105" Type="http://schemas.openxmlformats.org/officeDocument/2006/relationships/hyperlink" Target="http://www.normattiva.it/uri-res/N2Ls?urn:nir:stato:decreto.legge:2001-12-28;448~art19!vig=" TargetMode="External"/><Relationship Id="rId126" Type="http://schemas.openxmlformats.org/officeDocument/2006/relationships/package" Target="embeddings/Microsoft_Excel_Worksheet12.xlsx"/><Relationship Id="rId147" Type="http://schemas.openxmlformats.org/officeDocument/2006/relationships/hyperlink" Target="http://www.normattiva.it/uri-res/N2Ls?urn:nir:stato:decreto.legge:2010-05-31;78~art9!vig=" TargetMode="External"/><Relationship Id="rId168" Type="http://schemas.openxmlformats.org/officeDocument/2006/relationships/hyperlink" Target="http://www.rgs.mef.gov.it/_Documenti/VERSIONE-I/e-GOVERNME1/ARCONET/PRINCIPICONTABILI/All_4-2_Principio_applicato_contabilitx_finanziaria_con_variazioni.doc" TargetMode="External"/><Relationship Id="rId8" Type="http://schemas.openxmlformats.org/officeDocument/2006/relationships/endnotes" Target="endnotes.xml"/><Relationship Id="rId51" Type="http://schemas.openxmlformats.org/officeDocument/2006/relationships/hyperlink" Target="http://www.normattiva.it/uri-res/N2Ls?urn:nir:stato:legge:2006-12-27;296!vig=" TargetMode="External"/><Relationship Id="rId72" Type="http://schemas.openxmlformats.org/officeDocument/2006/relationships/hyperlink" Target="http://www.rgs.mef.gov.it/_Documenti/VERSIONE-I/e-GOVERNME1/ARCONET/PRINCIPICONTABILI/All_4-2_Principio_applicato_contabilitx_finanziaria_con_variazioni.doc" TargetMode="External"/><Relationship Id="rId93" Type="http://schemas.openxmlformats.org/officeDocument/2006/relationships/image" Target="media/image11.emf"/><Relationship Id="rId98" Type="http://schemas.openxmlformats.org/officeDocument/2006/relationships/hyperlink" Target="http://www.normattiva.it/uri-res/N2Ls?urn:nir:stato:decreto.legislativo:2011-06-23;118!vig=" TargetMode="External"/><Relationship Id="rId121" Type="http://schemas.openxmlformats.org/officeDocument/2006/relationships/image" Target="media/image14.emf"/><Relationship Id="rId142" Type="http://schemas.openxmlformats.org/officeDocument/2006/relationships/hyperlink" Target="http://www.normattiva.it/uri-res/N2Ls?urn:nir:stato:legge:2014-06-24;90~art3!vig=" TargetMode="External"/><Relationship Id="rId163" Type="http://schemas.openxmlformats.org/officeDocument/2006/relationships/hyperlink" Target="http://www.normattiva.it/uri-res/N2Ls?urn:nir:stato:legge:2012-12-24;228!vig=" TargetMode="External"/><Relationship Id="rId184" Type="http://schemas.openxmlformats.org/officeDocument/2006/relationships/hyperlink" Target="http://www.normattiva.it/uri-res/N2Ls?urn:nir:stato:decreto.legislativo:2016-08-19;175~art21!vig=" TargetMode="External"/><Relationship Id="rId189" Type="http://schemas.openxmlformats.org/officeDocument/2006/relationships/hyperlink" Target="http://www.normattiva.it/uri-res/N2Ls?urn:nir:stato:regio.decreto:1942-03-16;262" TargetMode="External"/><Relationship Id="rId219" Type="http://schemas.openxmlformats.org/officeDocument/2006/relationships/package" Target="embeddings/Microsoft_Excel_Worksheet29.xlsx"/><Relationship Id="rId3" Type="http://schemas.openxmlformats.org/officeDocument/2006/relationships/styles" Target="styles.xml"/><Relationship Id="rId214" Type="http://schemas.openxmlformats.org/officeDocument/2006/relationships/hyperlink" Target="http://www.normattiva.it/uri-res/N2Ls?urn:nir:stato:decreto.legislativo:2000-08-18;267~art204!vig=" TargetMode="External"/><Relationship Id="rId230" Type="http://schemas.openxmlformats.org/officeDocument/2006/relationships/hyperlink" Target="http://www.normattiva.it/uri-res/N2Ls?urn:nir:stato:decreto.legislativo:2011-06-23;118!vig=" TargetMode="External"/><Relationship Id="rId235" Type="http://schemas.openxmlformats.org/officeDocument/2006/relationships/hyperlink" Target="http://www.normattiva.it/uri-res/N2Ls?urn:nir:stato:decreto.legislativo:2000-08-18;267~art162!vig=" TargetMode="External"/><Relationship Id="rId25" Type="http://schemas.openxmlformats.org/officeDocument/2006/relationships/hyperlink" Target="http://www.normattiva.it/uri-res/N2Ls?urn:nir:stato:decreto.legislativo:2011-06-23;118~art11!vig=" TargetMode="External"/><Relationship Id="rId46" Type="http://schemas.openxmlformats.org/officeDocument/2006/relationships/hyperlink" Target="http://www.normattiva.it/uri-res/N2Ls?urn:nir:stato:decreto.legge:2008-06-25;112~art46!vig=" TargetMode="External"/><Relationship Id="rId67" Type="http://schemas.openxmlformats.org/officeDocument/2006/relationships/image" Target="media/image4.emf"/><Relationship Id="rId116" Type="http://schemas.openxmlformats.org/officeDocument/2006/relationships/package" Target="embeddings/Microsoft_Excel_Worksheet8.xlsx"/><Relationship Id="rId137" Type="http://schemas.openxmlformats.org/officeDocument/2006/relationships/package" Target="embeddings/Microsoft_Excel_Worksheet15.xlsx"/><Relationship Id="rId158" Type="http://schemas.openxmlformats.org/officeDocument/2006/relationships/hyperlink" Target="http://www.normattiva.it/uri-res/N2Ls?urn:nir:stato:decreto.legge:2008-06-25;112~art46!vig=" TargetMode="External"/><Relationship Id="rId20" Type="http://schemas.openxmlformats.org/officeDocument/2006/relationships/hyperlink" Target="http://finanzalocale.interno.it/docum/studi/varie/testounico267-2000.pdf" TargetMode="External"/><Relationship Id="rId41" Type="http://schemas.openxmlformats.org/officeDocument/2006/relationships/hyperlink" Target="http://www.normattiva.it/uri-res/N2Ls?urn:nir:stato:decreto.legislativo:2001-03-30;165~art35!vig=" TargetMode="External"/><Relationship Id="rId62" Type="http://schemas.openxmlformats.org/officeDocument/2006/relationships/hyperlink" Target="http://www.gazzettaufficiale.it/eli/id/2015/05/08/15G00065/sg." TargetMode="External"/><Relationship Id="rId83" Type="http://schemas.openxmlformats.org/officeDocument/2006/relationships/hyperlink" Target="http://www.normattiva.it/uri-res/N2Ls?urn:nir:stato:decreto.legislativo:2000-08-18;267~art162!vig=" TargetMode="External"/><Relationship Id="rId88" Type="http://schemas.openxmlformats.org/officeDocument/2006/relationships/image" Target="media/image9.emf"/><Relationship Id="rId111" Type="http://schemas.openxmlformats.org/officeDocument/2006/relationships/hyperlink" Target="http://home.ilfisco.it/perl/fol.pl?log-ckey=%2412053988;cmd-doc=390685" TargetMode="External"/><Relationship Id="rId132" Type="http://schemas.openxmlformats.org/officeDocument/2006/relationships/image" Target="media/image17.emf"/><Relationship Id="rId153" Type="http://schemas.openxmlformats.org/officeDocument/2006/relationships/hyperlink" Target="http://www.normattiva.it/uri-res/N2Ls?urn:nir:stato:legge:1997-12-27;449~art39!vig=" TargetMode="External"/><Relationship Id="rId174" Type="http://schemas.openxmlformats.org/officeDocument/2006/relationships/package" Target="embeddings/Microsoft_Excel_Worksheet22.xlsx"/><Relationship Id="rId179" Type="http://schemas.openxmlformats.org/officeDocument/2006/relationships/hyperlink" Target="http://www.rgs.mef.gov.it/_Documenti/VERSIONE-I/e-GOVERNME1/ARCONET/PRINCIPICONTABILI/All_4-2_Principio_applicato_contabilitx_finanziaria_con_variazioni.doc" TargetMode="External"/><Relationship Id="rId195" Type="http://schemas.openxmlformats.org/officeDocument/2006/relationships/hyperlink" Target="http://www.normattiva.it/uri-res/N2Ls?urn:nir:stato:decreto.legislativo:2016-08-19;175~art21!vig=" TargetMode="External"/><Relationship Id="rId209" Type="http://schemas.openxmlformats.org/officeDocument/2006/relationships/hyperlink" Target="http://www.normattiva.it/uri-res/N2Ls?urn:nir:stato:legge:2012-12-24;228!vig=" TargetMode="External"/><Relationship Id="rId190" Type="http://schemas.openxmlformats.org/officeDocument/2006/relationships/hyperlink" Target="http://www.normattiva.it/uri-res/N2Ls?urn:nir:stato:decreto.legge:2014-04-24;66!vig=2014-11-12~art31!vig=" TargetMode="External"/><Relationship Id="rId204" Type="http://schemas.openxmlformats.org/officeDocument/2006/relationships/image" Target="media/image31.emf"/><Relationship Id="rId220" Type="http://schemas.openxmlformats.org/officeDocument/2006/relationships/image" Target="media/image35.emf"/><Relationship Id="rId225" Type="http://schemas.openxmlformats.org/officeDocument/2006/relationships/hyperlink" Target="http://www.normattiva.it/uri-res/N2Ls?urn:nir:stato:decreto.legislativo:2000-08-18;267~art193!vig=" TargetMode="External"/><Relationship Id="rId241" Type="http://schemas.openxmlformats.org/officeDocument/2006/relationships/hyperlink" Target="http://www.rgs.mef.gov.it/_Documenti/VERSIONE-I/e-GOVERNME1/ARCONET/PRINCIPICONTABILI/All_4-1_Principio_applicato_della_Programmazione_con_variazioni.doc" TargetMode="External"/><Relationship Id="rId246" Type="http://schemas.openxmlformats.org/officeDocument/2006/relationships/fontTable" Target="fontTable.xml"/><Relationship Id="rId15" Type="http://schemas.openxmlformats.org/officeDocument/2006/relationships/hyperlink" Target="http://www.rgs.mef.gov.it/_Documenti/VERSIONE-I/e-GOVERNME1/ARCONET/PRINCIPICONTABILI/All_4-2_Principio_applicato_contabilitx_finanziaria_con_variazioni.doc" TargetMode="External"/><Relationship Id="rId36" Type="http://schemas.openxmlformats.org/officeDocument/2006/relationships/hyperlink" Target="http://www.gazzettaufficiale.it/do/atto/serie_generale/caricaPdf?cdimg=15A0945800100010110001&amp;dgu=2015-12-21&amp;art.dataPubblicazioneGazzetta=2015-12-21&amp;art.codiceRedazionale=15A09458&amp;art.num=1&amp;art.tiposerie=SG" TargetMode="External"/><Relationship Id="rId57" Type="http://schemas.openxmlformats.org/officeDocument/2006/relationships/image" Target="media/image1.emf"/><Relationship Id="rId106" Type="http://schemas.openxmlformats.org/officeDocument/2006/relationships/hyperlink" Target="http://www.normattiva.it/uri-res/N2Ls?urn:nir:stato:decreto.legge:2011-07-06;98~art16!vig=" TargetMode="External"/><Relationship Id="rId127" Type="http://schemas.openxmlformats.org/officeDocument/2006/relationships/hyperlink" Target="http://www.normattiva.it/uri-res/N2Ls?urn:nir:stato:decreto.legislativo:1992-04-30;285~art208!vig=" TargetMode="External"/><Relationship Id="rId10" Type="http://schemas.openxmlformats.org/officeDocument/2006/relationships/hyperlink" Target="http://www.normattiva.it/uri-res/N2Ls?urn:nir:stato:legge:2012-12-24;243!vig=" TargetMode="External"/><Relationship Id="rId31" Type="http://schemas.openxmlformats.org/officeDocument/2006/relationships/hyperlink" Target="http://www.normattiva.it/uri-res/N2Ls?urn:nir:stato:legge:1962;167!vig=" TargetMode="External"/><Relationship Id="rId52" Type="http://schemas.openxmlformats.org/officeDocument/2006/relationships/hyperlink" Target="http://finanzalocale.interno.it/docum/studi/varie/testounico267-2000.pdf" TargetMode="External"/><Relationship Id="rId73" Type="http://schemas.openxmlformats.org/officeDocument/2006/relationships/hyperlink" Target="http://www.normattiva.it/uri-res/N2Ls?urn:nir:stato:decreto.legislativo:2011-06-23;118!vig=" TargetMode="External"/><Relationship Id="rId78" Type="http://schemas.openxmlformats.org/officeDocument/2006/relationships/oleObject" Target="embeddings/Microsoft_Excel_97-2003_Worksheet2.xls"/><Relationship Id="rId94" Type="http://schemas.openxmlformats.org/officeDocument/2006/relationships/package" Target="embeddings/Microsoft_Excel_Worksheet7.xlsx"/><Relationship Id="rId99" Type="http://schemas.openxmlformats.org/officeDocument/2006/relationships/hyperlink" Target="http://www.normattiva.it/uri-res/N2Ls?urn:nir:stato:decreto.legislativo:2000-08-18;267~art46!vig=" TargetMode="External"/><Relationship Id="rId101" Type="http://schemas.openxmlformats.org/officeDocument/2006/relationships/hyperlink" Target="http://www.gazzettaufficiale.it/eli/id/2012/03/06/12A02395/sg;jsessionid=CenV9KTF7jtOFOVka2rziw__.ntc-as1-guri2a" TargetMode="External"/><Relationship Id="rId122" Type="http://schemas.openxmlformats.org/officeDocument/2006/relationships/package" Target="embeddings/Microsoft_Excel_Worksheet10.xlsx"/><Relationship Id="rId143" Type="http://schemas.openxmlformats.org/officeDocument/2006/relationships/hyperlink" Target="http://www.normattiva.it/uri-res/N2Ls?urn:nir:stato:legge:2015-12-28;208!vig=" TargetMode="External"/><Relationship Id="rId148" Type="http://schemas.openxmlformats.org/officeDocument/2006/relationships/hyperlink" Target="http://www.normattiva.it/uri-res/N2Ls?urn:nir:stato:legge:2006-12-27;296!vig=" TargetMode="External"/><Relationship Id="rId164" Type="http://schemas.openxmlformats.org/officeDocument/2006/relationships/image" Target="media/image23.emf"/><Relationship Id="rId169" Type="http://schemas.openxmlformats.org/officeDocument/2006/relationships/image" Target="media/image24.emf"/><Relationship Id="rId185" Type="http://schemas.openxmlformats.org/officeDocument/2006/relationships/hyperlink" Target="http://www.normattiva.it/uri-res/N2Ls?urn:nir:stato:decreto.legislativo:2000-08-18;267~art166!vig=" TargetMode="External"/><Relationship Id="rId4" Type="http://schemas.microsoft.com/office/2007/relationships/stylesWithEffects" Target="stylesWithEffects.xml"/><Relationship Id="rId9" Type="http://schemas.openxmlformats.org/officeDocument/2006/relationships/hyperlink" Target="http://www.normattiva.it/do/atto/vediPdf?cdimg=011G016000900010110001&amp;dgu=2011-07-26&amp;art.dataPubblicazioneGazzetta=2011-07-26&amp;art.codiceRedazionale=011G0160" TargetMode="External"/><Relationship Id="rId180" Type="http://schemas.openxmlformats.org/officeDocument/2006/relationships/hyperlink" Target="http://www.normattiva.it/uri-res/N2Ls?urn:nir:stato:decreto.legislativo:2011-06-23;118!vig=" TargetMode="External"/><Relationship Id="rId210" Type="http://schemas.openxmlformats.org/officeDocument/2006/relationships/hyperlink" Target="http://www.normattiva.it/uri-res/N2Ls?urn:nir:stato:decreto.legge:2011-07-06;98~art12!vig=" TargetMode="External"/><Relationship Id="rId215" Type="http://schemas.openxmlformats.org/officeDocument/2006/relationships/image" Target="media/image33.emf"/><Relationship Id="rId236" Type="http://schemas.openxmlformats.org/officeDocument/2006/relationships/hyperlink" Target="http://www.normattiva.it/uri-res/N2Ls?urn:nir:stato:decreto.legislativo:2011-06-23;118!vig=" TargetMode="External"/><Relationship Id="rId26" Type="http://schemas.openxmlformats.org/officeDocument/2006/relationships/hyperlink" Target="http://www.normattiva.it/uri-res/N2Ls?urn:nir:stato:decreto.legislativo:2011-06-23;118~art11!vig=" TargetMode="External"/><Relationship Id="rId231" Type="http://schemas.openxmlformats.org/officeDocument/2006/relationships/hyperlink" Target="http://www.rgs.mef.gov.it/_Documenti/VERSIONE-I/e-GOVERNME1/ARCONET/PRINCIPICONTABILI/All_4-3_Principio_applicato_contabilitx_economico-patrimoniale.doc" TargetMode="External"/><Relationship Id="rId47" Type="http://schemas.openxmlformats.org/officeDocument/2006/relationships/hyperlink" Target="http://www.normattiva.it/uri-res/N2Ls?urn:nir:stato:decreto.legge:2010-05-31;78~art9!vig=" TargetMode="External"/><Relationship Id="rId68" Type="http://schemas.openxmlformats.org/officeDocument/2006/relationships/package" Target="embeddings/Microsoft_Excel_Worksheet3.xlsx"/><Relationship Id="rId89" Type="http://schemas.openxmlformats.org/officeDocument/2006/relationships/package" Target="embeddings/Microsoft_Excel_Worksheet5.xlsx"/><Relationship Id="rId112" Type="http://schemas.openxmlformats.org/officeDocument/2006/relationships/hyperlink" Target="http://www.normattiva.it/uri-res/N2Ls?urn:nir:stato:legge:2012-12-24;228!vig=" TargetMode="External"/><Relationship Id="rId133" Type="http://schemas.openxmlformats.org/officeDocument/2006/relationships/package" Target="embeddings/Microsoft_Excel_Worksheet13.xlsx"/><Relationship Id="rId154" Type="http://schemas.openxmlformats.org/officeDocument/2006/relationships/image" Target="media/image22.emf"/><Relationship Id="rId175" Type="http://schemas.openxmlformats.org/officeDocument/2006/relationships/hyperlink" Target="http://www.normattiva.it/uri-res/N2Ls?urn:nir:stato:decreto.legislativo:2000-08-18;267~art166!vig=" TargetMode="External"/><Relationship Id="rId196" Type="http://schemas.openxmlformats.org/officeDocument/2006/relationships/hyperlink" Target="http://www.normattiva.it/uri-res/N2Ls?urn:nir:stato:legge:2013-12-27;147!vig=" TargetMode="External"/><Relationship Id="rId200" Type="http://schemas.openxmlformats.org/officeDocument/2006/relationships/package" Target="embeddings/Microsoft_Excel_Worksheet24.xlsx"/><Relationship Id="rId16" Type="http://schemas.openxmlformats.org/officeDocument/2006/relationships/hyperlink" Target="http://www.normattiva.it/uri-res/N2Ls?urn:nir:stato:decreto.legislativo:2011-06-23;118!vig=" TargetMode="External"/><Relationship Id="rId221" Type="http://schemas.openxmlformats.org/officeDocument/2006/relationships/package" Target="embeddings/Microsoft_Excel_Worksheet30.xlsx"/><Relationship Id="rId242" Type="http://schemas.openxmlformats.org/officeDocument/2006/relationships/hyperlink" Target="http://www.rgs.mef.gov.it/_Documenti/VERSIONE-I/e-GOVERNME1/ARCONET/PRINCIPICONTABILI/All_4-2_Principio_applicato_contabilitx_finanziaria_con_variazioni.doc" TargetMode="External"/><Relationship Id="rId37" Type="http://schemas.openxmlformats.org/officeDocument/2006/relationships/hyperlink" Target="http://www.normattiva.it/uri-res/N2Ls?urn:nir:stato:decreto.legislativo:2000-08-18;267~art170!vig=" TargetMode="External"/><Relationship Id="rId58" Type="http://schemas.openxmlformats.org/officeDocument/2006/relationships/package" Target="embeddings/Microsoft_Excel_Worksheet1.xlsx"/><Relationship Id="rId79" Type="http://schemas.openxmlformats.org/officeDocument/2006/relationships/hyperlink" Target="http://www.normattiva.it/uri-res/N2Ls?urn:nir:stato:decreto.legislativo:2000-08-18;267~art162!vig=" TargetMode="External"/><Relationship Id="rId102" Type="http://schemas.openxmlformats.org/officeDocument/2006/relationships/hyperlink" Target="http://www.normattiva.it/uri-res/N2Ls?urn:nir:stato:decreto.legislativo:2006-04-12;163~art128!vig=" TargetMode="External"/><Relationship Id="rId123" Type="http://schemas.openxmlformats.org/officeDocument/2006/relationships/image" Target="media/image15.emf"/><Relationship Id="rId144" Type="http://schemas.openxmlformats.org/officeDocument/2006/relationships/hyperlink" Target="http://www.normattiva.it/uri-res/N2Ls?urn:nir:stato:decreto.legge:2016-06-24;113~art16!vig=" TargetMode="External"/><Relationship Id="rId90" Type="http://schemas.openxmlformats.org/officeDocument/2006/relationships/hyperlink" Target="http://www.normattiva.it/uri-res/N2Ls?urn:nir:stato:legge:2012-12-24;243~art9!vig=" TargetMode="External"/><Relationship Id="rId165" Type="http://schemas.openxmlformats.org/officeDocument/2006/relationships/package" Target="embeddings/Microsoft_Excel_Worksheet19.xlsx"/><Relationship Id="rId186" Type="http://schemas.openxmlformats.org/officeDocument/2006/relationships/hyperlink" Target="http://www.normattiva.it/uri-res/N2Ls?urn:nir:stato:legge:2007-12-24;244~art3!vig=" TargetMode="External"/><Relationship Id="rId211" Type="http://schemas.openxmlformats.org/officeDocument/2006/relationships/hyperlink" Target="http://www.normattiva.it/uri-res/N2Ls?urn:nir:stato:legge:2011-07-15;111!vig=" TargetMode="External"/><Relationship Id="rId232" Type="http://schemas.openxmlformats.org/officeDocument/2006/relationships/hyperlink" Target="http://www.normattiva.it/uri-res/N2Ls?urn:nir:stato:decreto.legislativo:2011-06-23;118!vig=" TargetMode="External"/><Relationship Id="rId27" Type="http://schemas.openxmlformats.org/officeDocument/2006/relationships/hyperlink" Target="http://www.rgs.mef.gov.it/_Documenti/VERSIONE-I/e-GOVERNME1/ARCONET/PRINCIPICONTABILI/All_4-1_Principio_applicato_della_Programmazione_con_variazioni.doc" TargetMode="External"/><Relationship Id="rId48" Type="http://schemas.openxmlformats.org/officeDocument/2006/relationships/hyperlink" Target="http://www.normattiva.it/uri-res/N2Ls?urn:nir:stato:decreto.legge:2010-05-31;78~art6!vig=" TargetMode="External"/><Relationship Id="rId69" Type="http://schemas.openxmlformats.org/officeDocument/2006/relationships/hyperlink" Target="http://www.rgs.mef.gov.it/_Documenti/VERSIONE-I/e-GOVERNME1/ARCONET/PRINCIPICONTABILI/Allegato_n._1_al_D.Lgs_118-2011.doc" TargetMode="External"/><Relationship Id="rId113" Type="http://schemas.openxmlformats.org/officeDocument/2006/relationships/hyperlink" Target="http://www.normattiva.it/uri-res/N2Ls?urn:nir:stato:legge:2012-12-24;243~art9!vig=" TargetMode="External"/><Relationship Id="rId134" Type="http://schemas.openxmlformats.org/officeDocument/2006/relationships/image" Target="media/image18.emf"/><Relationship Id="rId80" Type="http://schemas.openxmlformats.org/officeDocument/2006/relationships/hyperlink" Target="http://www.normattiva.it/uri-res/N2Ls?urn:nir:stato:decreto.legislativo:2000-08-18;267~art183!vig=" TargetMode="External"/><Relationship Id="rId155" Type="http://schemas.openxmlformats.org/officeDocument/2006/relationships/package" Target="embeddings/Microsoft_Excel_Worksheet18.xlsx"/><Relationship Id="rId176" Type="http://schemas.openxmlformats.org/officeDocument/2006/relationships/image" Target="media/image27.emf"/><Relationship Id="rId197" Type="http://schemas.openxmlformats.org/officeDocument/2006/relationships/hyperlink" Target="http://www.normattiva.it/uri-res/N2Ls?urn:nir:stato:legge:2013-12-27;147!vig=" TargetMode="External"/><Relationship Id="rId201" Type="http://schemas.openxmlformats.org/officeDocument/2006/relationships/hyperlink" Target="http://www.normattiva.it/uri-res/N2Ls?urn:nir:stato:legge:2014-12-23;190!vig=" TargetMode="External"/><Relationship Id="rId222" Type="http://schemas.openxmlformats.org/officeDocument/2006/relationships/image" Target="media/image36.emf"/><Relationship Id="rId243"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ancre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27161-D9A3-4468-89D0-9F18F1073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14795</Words>
  <Characters>84336</Characters>
  <Application>Microsoft Office Word</Application>
  <DocSecurity>0</DocSecurity>
  <Lines>702</Lines>
  <Paragraphs>197</Paragraphs>
  <ScaleCrop>false</ScaleCrop>
  <HeadingPairs>
    <vt:vector size="2" baseType="variant">
      <vt:variant>
        <vt:lpstr>Titolo</vt:lpstr>
      </vt:variant>
      <vt:variant>
        <vt:i4>1</vt:i4>
      </vt:variant>
    </vt:vector>
  </HeadingPairs>
  <TitlesOfParts>
    <vt:vector size="1" baseType="lpstr">
      <vt:lpstr>Previsione 2017</vt:lpstr>
    </vt:vector>
  </TitlesOfParts>
  <Company>BORGHI</Company>
  <LinksUpToDate>false</LinksUpToDate>
  <CharactersWithSpaces>98934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Previsione 2017</dc:title>
  <dc:subject>Parere organo di revisione</dc:subject>
  <dc:creator>Antonino Borghi</dc:creator>
  <cp:keywords>Ancrel 2017</cp:keywords>
  <dc:description>Testo formulato dal Presidente Nazionale di ANCREL Antonino Borghi e dal gruppo tecnico</dc:description>
  <cp:lastModifiedBy>Rossana Valentini</cp:lastModifiedBy>
  <cp:revision>2</cp:revision>
  <cp:lastPrinted>2016-01-12T18:35:00Z</cp:lastPrinted>
  <dcterms:created xsi:type="dcterms:W3CDTF">2017-02-03T08:49:00Z</dcterms:created>
  <dcterms:modified xsi:type="dcterms:W3CDTF">2017-02-03T08:49:00Z</dcterms:modified>
</cp:coreProperties>
</file>