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E87" w:rsidRDefault="00F86BD1" w:rsidP="001F3334">
      <w:pPr>
        <w:jc w:val="center"/>
        <w:rPr>
          <w:sz w:val="28"/>
        </w:rPr>
      </w:pPr>
      <w:proofErr w:type="gramStart"/>
      <w:r>
        <w:rPr>
          <w:sz w:val="28"/>
        </w:rPr>
        <w:t>.</w:t>
      </w:r>
      <w:r w:rsidR="001F3334" w:rsidRPr="001F3334">
        <w:rPr>
          <w:sz w:val="28"/>
        </w:rPr>
        <w:t>ESERCITAZIONE</w:t>
      </w:r>
      <w:proofErr w:type="gramEnd"/>
      <w:r w:rsidR="001F3334" w:rsidRPr="001F3334">
        <w:rPr>
          <w:sz w:val="28"/>
        </w:rPr>
        <w:t xml:space="preserve"> “FONDI RISCHI E ONERI” – 09 NOVEMBRE 2017</w:t>
      </w:r>
    </w:p>
    <w:p w:rsidR="001F3334" w:rsidRPr="001F3334" w:rsidRDefault="001F3334" w:rsidP="001F3334">
      <w:pPr>
        <w:jc w:val="center"/>
        <w:rPr>
          <w:sz w:val="20"/>
        </w:rPr>
      </w:pPr>
      <w:r w:rsidRPr="001F3334">
        <w:rPr>
          <w:sz w:val="24"/>
        </w:rPr>
        <w:t>Relatore: Dott. Nicolò Maria Rossi</w:t>
      </w:r>
    </w:p>
    <w:p w:rsidR="001F3334" w:rsidRDefault="001F3334" w:rsidP="001F3334">
      <w:pPr>
        <w:jc w:val="center"/>
      </w:pPr>
    </w:p>
    <w:p w:rsidR="00D82372" w:rsidRDefault="001F3334" w:rsidP="00D82372">
      <w:pPr>
        <w:pStyle w:val="Paragrafoelenco"/>
        <w:numPr>
          <w:ilvl w:val="0"/>
          <w:numId w:val="1"/>
        </w:numPr>
        <w:jc w:val="both"/>
      </w:pPr>
      <w:r>
        <w:t xml:space="preserve">Durante l’anno 2017 la società Alfa S.p.A. ha prodotto e venduto una nuova linea di piccoli elettrodomestici. A seguito di segnalazioni e di analisi effettuate la Società ha individuato dei gravi difetti di fabbricazione </w:t>
      </w:r>
      <w:r w:rsidR="00D82372">
        <w:t>che potrebbero portare la stessa a sostituire diversi prodotti. Da una stima effettuata la società stima di sostenere costi per € 150.000 al fine di sostituire i tali prodotti. Il candidato, dopo aver definito la natura di tali costi, effettui le relative scritture contabili implicando le relative implicazioni fiscali. Si tenga presente che in bilancio al 31.12.2017 è stato già appostato un “fondo garanzia prodotti” sulla base delle precedenti esperienze per € 50.000.</w:t>
      </w:r>
    </w:p>
    <w:p w:rsidR="00D82372" w:rsidRDefault="00F86BD1" w:rsidP="00D82372">
      <w:pPr>
        <w:pStyle w:val="Paragrafoelenco"/>
        <w:numPr>
          <w:ilvl w:val="0"/>
          <w:numId w:val="1"/>
        </w:numPr>
        <w:spacing w:before="240"/>
        <w:jc w:val="both"/>
      </w:pPr>
      <w:r>
        <w:t xml:space="preserve">Nel corso del 2016. </w:t>
      </w:r>
      <w:proofErr w:type="gramStart"/>
      <w:r>
        <w:t>la</w:t>
      </w:r>
      <w:proofErr w:type="gramEnd"/>
      <w:r>
        <w:t xml:space="preserve"> Società Beta S.p.A. intraprende cause con i propri clienti. In sede di chiusura di bilancio, gli amministratori, ricevono dai propri legali informazioni riguardanti le due cause:</w:t>
      </w:r>
    </w:p>
    <w:p w:rsidR="00F86BD1" w:rsidRDefault="00F86BD1" w:rsidP="00F86BD1">
      <w:pPr>
        <w:pStyle w:val="Paragrafoelenco"/>
        <w:numPr>
          <w:ilvl w:val="1"/>
          <w:numId w:val="1"/>
        </w:numPr>
        <w:spacing w:before="240"/>
        <w:jc w:val="both"/>
      </w:pPr>
      <w:r>
        <w:t xml:space="preserve">Cliente </w:t>
      </w:r>
      <w:proofErr w:type="gramStart"/>
      <w:r>
        <w:t xml:space="preserve">X </w:t>
      </w:r>
      <w:r>
        <w:sym w:font="Wingdings" w:char="F0E0"/>
      </w:r>
      <w:r>
        <w:t xml:space="preserve"> passività</w:t>
      </w:r>
      <w:proofErr w:type="gramEnd"/>
      <w:r>
        <w:t xml:space="preserve"> stimata 50.000 €; rischio probabile</w:t>
      </w:r>
    </w:p>
    <w:p w:rsidR="00F86BD1" w:rsidRDefault="00F86BD1" w:rsidP="00F86BD1">
      <w:pPr>
        <w:pStyle w:val="Paragrafoelenco"/>
        <w:numPr>
          <w:ilvl w:val="1"/>
          <w:numId w:val="1"/>
        </w:numPr>
        <w:spacing w:before="240"/>
        <w:jc w:val="both"/>
      </w:pPr>
      <w:r>
        <w:t xml:space="preserve">Cliente </w:t>
      </w:r>
      <w:proofErr w:type="gramStart"/>
      <w:r>
        <w:t xml:space="preserve">Y </w:t>
      </w:r>
      <w:r>
        <w:sym w:font="Wingdings" w:char="F0E0"/>
      </w:r>
      <w:r>
        <w:t xml:space="preserve"> passività</w:t>
      </w:r>
      <w:proofErr w:type="gramEnd"/>
      <w:r>
        <w:t xml:space="preserve"> stimata 90.000 €; rischio possibile</w:t>
      </w:r>
    </w:p>
    <w:p w:rsidR="00F86BD1" w:rsidRDefault="00F86BD1" w:rsidP="00F86BD1">
      <w:pPr>
        <w:pStyle w:val="Paragrafoelenco"/>
        <w:spacing w:before="240"/>
        <w:ind w:left="708"/>
        <w:jc w:val="both"/>
      </w:pPr>
      <w:r>
        <w:t xml:space="preserve">Il candidato, dopo aver motivato le ragioni alla base delle scelte assunte dagli amministratori, effettui le opportune scritture contabili indicando le relative implicazioni fiscali. </w:t>
      </w:r>
    </w:p>
    <w:p w:rsidR="00F86BD1" w:rsidRDefault="00F86BD1" w:rsidP="00F86BD1">
      <w:pPr>
        <w:pStyle w:val="Paragrafoelenco"/>
        <w:spacing w:before="240"/>
        <w:ind w:left="708"/>
        <w:jc w:val="both"/>
      </w:pPr>
      <w:r>
        <w:t>Nell’esercizio 2017, in base all’evoluzione delle cause, i legali rivedono le proprie stime:</w:t>
      </w:r>
    </w:p>
    <w:p w:rsidR="00F86BD1" w:rsidRDefault="00F86BD1" w:rsidP="00F86BD1">
      <w:pPr>
        <w:pStyle w:val="Paragrafoelenco"/>
        <w:numPr>
          <w:ilvl w:val="0"/>
          <w:numId w:val="2"/>
        </w:numPr>
        <w:spacing w:before="240"/>
        <w:jc w:val="both"/>
      </w:pPr>
      <w:r>
        <w:t xml:space="preserve">Cliente </w:t>
      </w:r>
      <w:proofErr w:type="gramStart"/>
      <w:r>
        <w:t xml:space="preserve">X </w:t>
      </w:r>
      <w:r>
        <w:sym w:font="Wingdings" w:char="F0E0"/>
      </w:r>
      <w:r>
        <w:t xml:space="preserve"> passività</w:t>
      </w:r>
      <w:proofErr w:type="gramEnd"/>
      <w:r>
        <w:t xml:space="preserve"> stimata 3</w:t>
      </w:r>
      <w:r>
        <w:t>0.000 €; rischio probabile</w:t>
      </w:r>
    </w:p>
    <w:p w:rsidR="00F86BD1" w:rsidRDefault="00F86BD1" w:rsidP="00F86BD1">
      <w:pPr>
        <w:pStyle w:val="Paragrafoelenco"/>
        <w:numPr>
          <w:ilvl w:val="0"/>
          <w:numId w:val="2"/>
        </w:numPr>
        <w:spacing w:before="240"/>
        <w:jc w:val="both"/>
      </w:pPr>
      <w:r>
        <w:t xml:space="preserve">Cliente </w:t>
      </w:r>
      <w:proofErr w:type="gramStart"/>
      <w:r>
        <w:t xml:space="preserve">Y </w:t>
      </w:r>
      <w:r>
        <w:sym w:font="Wingdings" w:char="F0E0"/>
      </w:r>
      <w:r>
        <w:t xml:space="preserve"> passività</w:t>
      </w:r>
      <w:proofErr w:type="gramEnd"/>
      <w:r>
        <w:t xml:space="preserve"> stimata 90.000 €; rischio </w:t>
      </w:r>
      <w:r>
        <w:t>r</w:t>
      </w:r>
      <w:r>
        <w:t>e</w:t>
      </w:r>
      <w:r>
        <w:t>moto</w:t>
      </w:r>
    </w:p>
    <w:p w:rsidR="00F86BD1" w:rsidRDefault="00A07426" w:rsidP="00F86BD1">
      <w:pPr>
        <w:pStyle w:val="Paragrafoelenco"/>
        <w:spacing w:before="240"/>
        <w:ind w:left="708"/>
        <w:jc w:val="both"/>
      </w:pPr>
      <w:r>
        <w:t>Il candidato effettui le opportune scritture alla luce delle nuove informazioni disponibili indicando le relative implicazioni fiscali.</w:t>
      </w:r>
    </w:p>
    <w:p w:rsidR="00A07426" w:rsidRDefault="00A07426" w:rsidP="00F86BD1">
      <w:pPr>
        <w:pStyle w:val="Paragrafoelenco"/>
        <w:spacing w:before="240"/>
        <w:ind w:left="708"/>
        <w:jc w:val="both"/>
      </w:pPr>
      <w:r>
        <w:t>Nel 2018 le due cause si chiudono definitivamente:</w:t>
      </w:r>
    </w:p>
    <w:p w:rsidR="00A07426" w:rsidRDefault="00A07426" w:rsidP="00A07426">
      <w:pPr>
        <w:pStyle w:val="Paragrafoelenco"/>
        <w:numPr>
          <w:ilvl w:val="0"/>
          <w:numId w:val="3"/>
        </w:numPr>
        <w:spacing w:before="240"/>
        <w:jc w:val="both"/>
      </w:pPr>
      <w:r>
        <w:t xml:space="preserve">Cliente </w:t>
      </w:r>
      <w:proofErr w:type="gramStart"/>
      <w:r>
        <w:t xml:space="preserve">X </w:t>
      </w:r>
      <w:r>
        <w:sym w:font="Wingdings" w:char="F0E0"/>
      </w:r>
      <w:r>
        <w:t xml:space="preserve"> </w:t>
      </w:r>
      <w:r>
        <w:t>la</w:t>
      </w:r>
      <w:proofErr w:type="gramEnd"/>
      <w:r>
        <w:t xml:space="preserve"> società perde la causa dovendo versare al cliente 32.000 €</w:t>
      </w:r>
    </w:p>
    <w:p w:rsidR="00A07426" w:rsidRDefault="00A07426" w:rsidP="00A07426">
      <w:pPr>
        <w:pStyle w:val="Paragrafoelenco"/>
        <w:numPr>
          <w:ilvl w:val="0"/>
          <w:numId w:val="3"/>
        </w:numPr>
        <w:spacing w:before="240"/>
        <w:jc w:val="both"/>
      </w:pPr>
      <w:r>
        <w:t xml:space="preserve">Cliente </w:t>
      </w:r>
      <w:proofErr w:type="gramStart"/>
      <w:r>
        <w:t xml:space="preserve">Y </w:t>
      </w:r>
      <w:r>
        <w:sym w:font="Wingdings" w:char="F0E0"/>
      </w:r>
      <w:r>
        <w:t xml:space="preserve"> </w:t>
      </w:r>
      <w:r>
        <w:t>la</w:t>
      </w:r>
      <w:proofErr w:type="gramEnd"/>
      <w:r>
        <w:t xml:space="preserve"> società vince la causa ottenendo il rimborso delle spese legali</w:t>
      </w:r>
    </w:p>
    <w:p w:rsidR="00A07426" w:rsidRDefault="00A07426" w:rsidP="00A07426">
      <w:pPr>
        <w:pStyle w:val="Paragrafoelenco"/>
        <w:spacing w:before="240"/>
        <w:ind w:left="708"/>
        <w:jc w:val="both"/>
      </w:pPr>
      <w:r>
        <w:t>Il candidato effettui le opportune scritture per recepire la chiusura delle cause in corso indicando le relative implicazioni fiscali.</w:t>
      </w:r>
    </w:p>
    <w:p w:rsidR="00A07426" w:rsidRDefault="00A07426" w:rsidP="00A07426">
      <w:pPr>
        <w:pStyle w:val="Paragrafoelenco"/>
        <w:numPr>
          <w:ilvl w:val="0"/>
          <w:numId w:val="1"/>
        </w:numPr>
        <w:spacing w:before="240"/>
        <w:jc w:val="both"/>
      </w:pPr>
      <w:r>
        <w:t xml:space="preserve">La Società Gamma S.p.A. dal 2011 ha in essere un contratto di agenzia ed accantona per tutti gli anni di vigenza del contratto € 5.000 al fondo indennità suppletiva di clientela. Nel 2017 il rapporto si risolve anticipatamente per una causa non imputabile all’agente, al quale pertanto spetta la liquidazione dell’indennità. Il candidato, dopo aver illustrato la natura del fondo effettui le scritture contabili relative </w:t>
      </w:r>
      <w:r w:rsidR="006C7010">
        <w:t xml:space="preserve">all’accantonamento del 2016 facendo riferimento agli schemi di bilancio come modificati dal </w:t>
      </w:r>
      <w:proofErr w:type="spellStart"/>
      <w:r w:rsidR="006C7010">
        <w:t>D.Lgs.</w:t>
      </w:r>
      <w:proofErr w:type="spellEnd"/>
      <w:r w:rsidR="006C7010">
        <w:t xml:space="preserve"> 139/2015. Inoltre si descriva il trattamento fiscale degli accantonamenti compilando la tabella che segue:</w:t>
      </w:r>
    </w:p>
    <w:tbl>
      <w:tblPr>
        <w:tblStyle w:val="Grigliatabella"/>
        <w:tblW w:w="0" w:type="auto"/>
        <w:tblInd w:w="846" w:type="dxa"/>
        <w:tblLook w:val="04A0" w:firstRow="1" w:lastRow="0" w:firstColumn="1" w:lastColumn="0" w:noHBand="0" w:noVBand="1"/>
      </w:tblPr>
      <w:tblGrid>
        <w:gridCol w:w="1561"/>
        <w:gridCol w:w="2407"/>
        <w:gridCol w:w="2407"/>
        <w:gridCol w:w="2407"/>
      </w:tblGrid>
      <w:tr w:rsidR="006C7010" w:rsidTr="006C7010">
        <w:trPr>
          <w:trHeight w:val="113"/>
        </w:trPr>
        <w:tc>
          <w:tcPr>
            <w:tcW w:w="1561" w:type="dxa"/>
          </w:tcPr>
          <w:p w:rsidR="006C7010" w:rsidRPr="006C7010" w:rsidRDefault="006C7010" w:rsidP="006C7010">
            <w:pPr>
              <w:jc w:val="both"/>
              <w:rPr>
                <w:b/>
              </w:rPr>
            </w:pPr>
            <w:r w:rsidRPr="006C7010">
              <w:rPr>
                <w:b/>
              </w:rPr>
              <w:t>Anno</w:t>
            </w:r>
          </w:p>
        </w:tc>
        <w:tc>
          <w:tcPr>
            <w:tcW w:w="2407" w:type="dxa"/>
          </w:tcPr>
          <w:p w:rsidR="006C7010" w:rsidRPr="006C7010" w:rsidRDefault="006C7010" w:rsidP="006C7010">
            <w:pPr>
              <w:jc w:val="both"/>
              <w:rPr>
                <w:b/>
              </w:rPr>
            </w:pPr>
            <w:r w:rsidRPr="006C7010">
              <w:rPr>
                <w:b/>
              </w:rPr>
              <w:t>Accantonamento</w:t>
            </w:r>
          </w:p>
        </w:tc>
        <w:tc>
          <w:tcPr>
            <w:tcW w:w="2407" w:type="dxa"/>
          </w:tcPr>
          <w:p w:rsidR="006C7010" w:rsidRPr="006C7010" w:rsidRDefault="006C7010" w:rsidP="006C7010">
            <w:pPr>
              <w:jc w:val="both"/>
              <w:rPr>
                <w:b/>
              </w:rPr>
            </w:pPr>
            <w:r w:rsidRPr="006C7010">
              <w:rPr>
                <w:b/>
              </w:rPr>
              <w:t>Deduzione Fiscale</w:t>
            </w:r>
          </w:p>
        </w:tc>
        <w:tc>
          <w:tcPr>
            <w:tcW w:w="2407" w:type="dxa"/>
          </w:tcPr>
          <w:p w:rsidR="006C7010" w:rsidRPr="006C7010" w:rsidRDefault="006C7010" w:rsidP="006C7010">
            <w:pPr>
              <w:jc w:val="both"/>
              <w:rPr>
                <w:b/>
              </w:rPr>
            </w:pPr>
            <w:r w:rsidRPr="006C7010">
              <w:rPr>
                <w:b/>
              </w:rPr>
              <w:t>Modello Unico</w:t>
            </w:r>
          </w:p>
        </w:tc>
      </w:tr>
      <w:tr w:rsidR="006C7010" w:rsidTr="006C7010">
        <w:trPr>
          <w:trHeight w:val="113"/>
        </w:trPr>
        <w:tc>
          <w:tcPr>
            <w:tcW w:w="1561" w:type="dxa"/>
          </w:tcPr>
          <w:p w:rsidR="006C7010" w:rsidRDefault="006C7010" w:rsidP="006C7010">
            <w:pPr>
              <w:jc w:val="both"/>
            </w:pPr>
            <w:r>
              <w:t>2011</w:t>
            </w:r>
          </w:p>
        </w:tc>
        <w:tc>
          <w:tcPr>
            <w:tcW w:w="2407" w:type="dxa"/>
          </w:tcPr>
          <w:p w:rsidR="006C7010" w:rsidRDefault="006C7010" w:rsidP="006C7010">
            <w:pPr>
              <w:jc w:val="both"/>
            </w:pPr>
          </w:p>
        </w:tc>
        <w:tc>
          <w:tcPr>
            <w:tcW w:w="2407" w:type="dxa"/>
          </w:tcPr>
          <w:p w:rsidR="006C7010" w:rsidRDefault="006C7010" w:rsidP="006C7010">
            <w:pPr>
              <w:jc w:val="both"/>
            </w:pPr>
          </w:p>
        </w:tc>
        <w:tc>
          <w:tcPr>
            <w:tcW w:w="2407" w:type="dxa"/>
          </w:tcPr>
          <w:p w:rsidR="006C7010" w:rsidRDefault="006C7010" w:rsidP="006C7010">
            <w:pPr>
              <w:jc w:val="both"/>
            </w:pPr>
          </w:p>
        </w:tc>
      </w:tr>
      <w:tr w:rsidR="006C7010" w:rsidTr="006C7010">
        <w:trPr>
          <w:trHeight w:val="113"/>
        </w:trPr>
        <w:tc>
          <w:tcPr>
            <w:tcW w:w="1561" w:type="dxa"/>
          </w:tcPr>
          <w:p w:rsidR="006C7010" w:rsidRDefault="006C7010" w:rsidP="006C7010">
            <w:pPr>
              <w:jc w:val="both"/>
            </w:pPr>
            <w:r>
              <w:t>2012</w:t>
            </w:r>
          </w:p>
        </w:tc>
        <w:tc>
          <w:tcPr>
            <w:tcW w:w="2407" w:type="dxa"/>
          </w:tcPr>
          <w:p w:rsidR="006C7010" w:rsidRDefault="006C7010" w:rsidP="006C7010">
            <w:pPr>
              <w:jc w:val="both"/>
            </w:pPr>
          </w:p>
        </w:tc>
        <w:tc>
          <w:tcPr>
            <w:tcW w:w="2407" w:type="dxa"/>
          </w:tcPr>
          <w:p w:rsidR="006C7010" w:rsidRDefault="006C7010" w:rsidP="006C7010">
            <w:pPr>
              <w:jc w:val="both"/>
            </w:pPr>
          </w:p>
        </w:tc>
        <w:tc>
          <w:tcPr>
            <w:tcW w:w="2407" w:type="dxa"/>
          </w:tcPr>
          <w:p w:rsidR="006C7010" w:rsidRDefault="006C7010" w:rsidP="006C7010">
            <w:pPr>
              <w:jc w:val="both"/>
            </w:pPr>
          </w:p>
        </w:tc>
      </w:tr>
      <w:tr w:rsidR="006C7010" w:rsidTr="006C7010">
        <w:trPr>
          <w:trHeight w:val="113"/>
        </w:trPr>
        <w:tc>
          <w:tcPr>
            <w:tcW w:w="1561" w:type="dxa"/>
          </w:tcPr>
          <w:p w:rsidR="006C7010" w:rsidRDefault="006C7010" w:rsidP="006C7010">
            <w:pPr>
              <w:jc w:val="both"/>
            </w:pPr>
            <w:r>
              <w:t>2013</w:t>
            </w:r>
          </w:p>
        </w:tc>
        <w:tc>
          <w:tcPr>
            <w:tcW w:w="2407" w:type="dxa"/>
          </w:tcPr>
          <w:p w:rsidR="006C7010" w:rsidRDefault="006C7010" w:rsidP="006C7010">
            <w:pPr>
              <w:jc w:val="both"/>
            </w:pPr>
          </w:p>
        </w:tc>
        <w:tc>
          <w:tcPr>
            <w:tcW w:w="2407" w:type="dxa"/>
          </w:tcPr>
          <w:p w:rsidR="006C7010" w:rsidRDefault="006C7010" w:rsidP="006C7010">
            <w:pPr>
              <w:jc w:val="both"/>
            </w:pPr>
          </w:p>
        </w:tc>
        <w:tc>
          <w:tcPr>
            <w:tcW w:w="2407" w:type="dxa"/>
          </w:tcPr>
          <w:p w:rsidR="006C7010" w:rsidRDefault="006C7010" w:rsidP="006C7010">
            <w:pPr>
              <w:jc w:val="both"/>
            </w:pPr>
          </w:p>
        </w:tc>
      </w:tr>
      <w:tr w:rsidR="006C7010" w:rsidTr="006C7010">
        <w:trPr>
          <w:trHeight w:val="113"/>
        </w:trPr>
        <w:tc>
          <w:tcPr>
            <w:tcW w:w="1561" w:type="dxa"/>
          </w:tcPr>
          <w:p w:rsidR="006C7010" w:rsidRDefault="006C7010" w:rsidP="006C7010">
            <w:pPr>
              <w:jc w:val="both"/>
            </w:pPr>
            <w:r>
              <w:t>2014</w:t>
            </w:r>
          </w:p>
        </w:tc>
        <w:tc>
          <w:tcPr>
            <w:tcW w:w="2407" w:type="dxa"/>
          </w:tcPr>
          <w:p w:rsidR="006C7010" w:rsidRDefault="006C7010" w:rsidP="006C7010">
            <w:pPr>
              <w:jc w:val="both"/>
            </w:pPr>
          </w:p>
        </w:tc>
        <w:tc>
          <w:tcPr>
            <w:tcW w:w="2407" w:type="dxa"/>
          </w:tcPr>
          <w:p w:rsidR="006C7010" w:rsidRDefault="006C7010" w:rsidP="006C7010">
            <w:pPr>
              <w:jc w:val="both"/>
            </w:pPr>
          </w:p>
        </w:tc>
        <w:tc>
          <w:tcPr>
            <w:tcW w:w="2407" w:type="dxa"/>
          </w:tcPr>
          <w:p w:rsidR="006C7010" w:rsidRDefault="006C7010" w:rsidP="006C7010">
            <w:pPr>
              <w:jc w:val="both"/>
            </w:pPr>
          </w:p>
        </w:tc>
      </w:tr>
      <w:tr w:rsidR="006C7010" w:rsidTr="006C7010">
        <w:trPr>
          <w:trHeight w:val="113"/>
        </w:trPr>
        <w:tc>
          <w:tcPr>
            <w:tcW w:w="1561" w:type="dxa"/>
          </w:tcPr>
          <w:p w:rsidR="006C7010" w:rsidRDefault="006C7010" w:rsidP="006C7010">
            <w:pPr>
              <w:jc w:val="both"/>
            </w:pPr>
            <w:r>
              <w:t>2015</w:t>
            </w:r>
          </w:p>
        </w:tc>
        <w:tc>
          <w:tcPr>
            <w:tcW w:w="2407" w:type="dxa"/>
          </w:tcPr>
          <w:p w:rsidR="006C7010" w:rsidRDefault="006C7010" w:rsidP="006C7010">
            <w:pPr>
              <w:jc w:val="both"/>
            </w:pPr>
          </w:p>
        </w:tc>
        <w:tc>
          <w:tcPr>
            <w:tcW w:w="2407" w:type="dxa"/>
          </w:tcPr>
          <w:p w:rsidR="006C7010" w:rsidRDefault="006C7010" w:rsidP="006C7010">
            <w:pPr>
              <w:jc w:val="both"/>
            </w:pPr>
          </w:p>
        </w:tc>
        <w:tc>
          <w:tcPr>
            <w:tcW w:w="2407" w:type="dxa"/>
          </w:tcPr>
          <w:p w:rsidR="006C7010" w:rsidRDefault="006C7010" w:rsidP="006C7010">
            <w:pPr>
              <w:jc w:val="both"/>
            </w:pPr>
          </w:p>
        </w:tc>
      </w:tr>
      <w:tr w:rsidR="006C7010" w:rsidTr="006C7010">
        <w:trPr>
          <w:trHeight w:val="113"/>
        </w:trPr>
        <w:tc>
          <w:tcPr>
            <w:tcW w:w="1561" w:type="dxa"/>
          </w:tcPr>
          <w:p w:rsidR="006C7010" w:rsidRDefault="006C7010" w:rsidP="006C7010">
            <w:pPr>
              <w:jc w:val="both"/>
            </w:pPr>
            <w:r>
              <w:t>2016</w:t>
            </w:r>
          </w:p>
        </w:tc>
        <w:tc>
          <w:tcPr>
            <w:tcW w:w="2407" w:type="dxa"/>
          </w:tcPr>
          <w:p w:rsidR="006C7010" w:rsidRDefault="006C7010" w:rsidP="006C7010">
            <w:pPr>
              <w:jc w:val="both"/>
            </w:pPr>
          </w:p>
        </w:tc>
        <w:tc>
          <w:tcPr>
            <w:tcW w:w="2407" w:type="dxa"/>
          </w:tcPr>
          <w:p w:rsidR="006C7010" w:rsidRDefault="006C7010" w:rsidP="006C7010">
            <w:pPr>
              <w:jc w:val="both"/>
            </w:pPr>
          </w:p>
        </w:tc>
        <w:tc>
          <w:tcPr>
            <w:tcW w:w="2407" w:type="dxa"/>
          </w:tcPr>
          <w:p w:rsidR="006C7010" w:rsidRDefault="006C7010" w:rsidP="006C7010">
            <w:pPr>
              <w:jc w:val="both"/>
            </w:pPr>
          </w:p>
        </w:tc>
      </w:tr>
      <w:tr w:rsidR="006C7010" w:rsidTr="006C7010">
        <w:trPr>
          <w:trHeight w:val="113"/>
        </w:trPr>
        <w:tc>
          <w:tcPr>
            <w:tcW w:w="1561" w:type="dxa"/>
          </w:tcPr>
          <w:p w:rsidR="006C7010" w:rsidRDefault="006C7010" w:rsidP="006C7010">
            <w:pPr>
              <w:jc w:val="both"/>
            </w:pPr>
            <w:r>
              <w:t>2017</w:t>
            </w:r>
          </w:p>
        </w:tc>
        <w:tc>
          <w:tcPr>
            <w:tcW w:w="2407" w:type="dxa"/>
          </w:tcPr>
          <w:p w:rsidR="006C7010" w:rsidRDefault="006C7010" w:rsidP="006C7010">
            <w:pPr>
              <w:jc w:val="both"/>
            </w:pPr>
          </w:p>
        </w:tc>
        <w:tc>
          <w:tcPr>
            <w:tcW w:w="2407" w:type="dxa"/>
          </w:tcPr>
          <w:p w:rsidR="006C7010" w:rsidRDefault="006C7010" w:rsidP="006C7010">
            <w:pPr>
              <w:jc w:val="both"/>
            </w:pPr>
          </w:p>
        </w:tc>
        <w:tc>
          <w:tcPr>
            <w:tcW w:w="2407" w:type="dxa"/>
          </w:tcPr>
          <w:p w:rsidR="006C7010" w:rsidRDefault="006C7010" w:rsidP="006C7010">
            <w:pPr>
              <w:jc w:val="both"/>
            </w:pPr>
          </w:p>
        </w:tc>
      </w:tr>
    </w:tbl>
    <w:p w:rsidR="006C7010" w:rsidRDefault="006C7010" w:rsidP="006C7010">
      <w:pPr>
        <w:spacing w:before="240"/>
        <w:jc w:val="both"/>
      </w:pPr>
    </w:p>
    <w:p w:rsidR="006C7010" w:rsidRPr="006C7010" w:rsidRDefault="006C7010" w:rsidP="006C7010">
      <w:pPr>
        <w:spacing w:after="0"/>
        <w:jc w:val="center"/>
        <w:rPr>
          <w:sz w:val="20"/>
        </w:rPr>
      </w:pPr>
      <w:r w:rsidRPr="006C7010">
        <w:rPr>
          <w:sz w:val="20"/>
        </w:rPr>
        <w:t>STUDIO ASSOCIATO DOTTORI COMMERCIALISTI</w:t>
      </w:r>
    </w:p>
    <w:p w:rsidR="006C7010" w:rsidRPr="006C7010" w:rsidRDefault="006C7010" w:rsidP="006C7010">
      <w:pPr>
        <w:spacing w:after="0"/>
        <w:jc w:val="center"/>
        <w:rPr>
          <w:sz w:val="20"/>
        </w:rPr>
      </w:pPr>
      <w:r w:rsidRPr="006C7010">
        <w:rPr>
          <w:sz w:val="20"/>
        </w:rPr>
        <w:t>Mario Rossi – Maria Luisa Mattiacci</w:t>
      </w:r>
    </w:p>
    <w:p w:rsidR="001F3334" w:rsidRPr="006C7010" w:rsidRDefault="006C7010" w:rsidP="006C7010">
      <w:pPr>
        <w:spacing w:after="0"/>
        <w:jc w:val="center"/>
        <w:rPr>
          <w:sz w:val="20"/>
        </w:rPr>
      </w:pPr>
      <w:r w:rsidRPr="006C7010">
        <w:rPr>
          <w:sz w:val="20"/>
        </w:rPr>
        <w:t>Perugia, via Lorenzo Spirito Gualtieri, n. 5 Tel. 075 5728617 e-mail: amministra</w:t>
      </w:r>
      <w:bookmarkStart w:id="0" w:name="_GoBack"/>
      <w:bookmarkEnd w:id="0"/>
      <w:r w:rsidRPr="006C7010">
        <w:rPr>
          <w:sz w:val="20"/>
        </w:rPr>
        <w:t>zione@studiorossimattiacci.it</w:t>
      </w:r>
    </w:p>
    <w:sectPr w:rsidR="001F3334" w:rsidRPr="006C7010" w:rsidSect="006C7010">
      <w:pgSz w:w="11906" w:h="16838"/>
      <w:pgMar w:top="1417" w:right="1134" w:bottom="1134" w:left="1134" w:header="708"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064" w:rsidRDefault="00546064" w:rsidP="006C7010">
      <w:pPr>
        <w:spacing w:after="0" w:line="240" w:lineRule="auto"/>
      </w:pPr>
      <w:r>
        <w:separator/>
      </w:r>
    </w:p>
  </w:endnote>
  <w:endnote w:type="continuationSeparator" w:id="0">
    <w:p w:rsidR="00546064" w:rsidRDefault="00546064" w:rsidP="006C7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064" w:rsidRDefault="00546064" w:rsidP="006C7010">
      <w:pPr>
        <w:spacing w:after="0" w:line="240" w:lineRule="auto"/>
      </w:pPr>
      <w:r>
        <w:separator/>
      </w:r>
    </w:p>
  </w:footnote>
  <w:footnote w:type="continuationSeparator" w:id="0">
    <w:p w:rsidR="00546064" w:rsidRDefault="00546064" w:rsidP="006C70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626E"/>
    <w:multiLevelType w:val="hybridMultilevel"/>
    <w:tmpl w:val="C1DEDF80"/>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15:restartNumberingAfterBreak="0">
    <w:nsid w:val="26036869"/>
    <w:multiLevelType w:val="hybridMultilevel"/>
    <w:tmpl w:val="9E12A3BA"/>
    <w:lvl w:ilvl="0" w:tplc="04100013">
      <w:start w:val="1"/>
      <w:numFmt w:val="upperRoman"/>
      <w:lvlText w:val="%1."/>
      <w:lvlJc w:val="righ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27145CE1"/>
    <w:multiLevelType w:val="hybridMultilevel"/>
    <w:tmpl w:val="2D1A99F8"/>
    <w:lvl w:ilvl="0" w:tplc="0410000F">
      <w:start w:val="1"/>
      <w:numFmt w:val="decimal"/>
      <w:lvlText w:val="%1."/>
      <w:lvlJc w:val="left"/>
      <w:pPr>
        <w:ind w:left="720" w:hanging="360"/>
      </w:pPr>
    </w:lvl>
    <w:lvl w:ilvl="1" w:tplc="04100013">
      <w:start w:val="1"/>
      <w:numFmt w:val="upperRoman"/>
      <w:lvlText w:val="%2."/>
      <w:lvlJc w:val="righ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7D605A"/>
    <w:multiLevelType w:val="hybridMultilevel"/>
    <w:tmpl w:val="C1DEDF80"/>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4" w15:restartNumberingAfterBreak="0">
    <w:nsid w:val="686E0CA8"/>
    <w:multiLevelType w:val="hybridMultilevel"/>
    <w:tmpl w:val="8228A2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334"/>
    <w:rsid w:val="001F3334"/>
    <w:rsid w:val="00546064"/>
    <w:rsid w:val="006C7010"/>
    <w:rsid w:val="00A07426"/>
    <w:rsid w:val="00B25118"/>
    <w:rsid w:val="00C53E87"/>
    <w:rsid w:val="00D82372"/>
    <w:rsid w:val="00F86B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54A550-8534-4AFD-8E9E-70930BC0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F3334"/>
    <w:pPr>
      <w:ind w:left="720"/>
      <w:contextualSpacing/>
    </w:pPr>
  </w:style>
  <w:style w:type="table" w:styleId="Grigliatabella">
    <w:name w:val="Table Grid"/>
    <w:basedOn w:val="Tabellanormale"/>
    <w:uiPriority w:val="39"/>
    <w:rsid w:val="006C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6C701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C7010"/>
  </w:style>
  <w:style w:type="paragraph" w:styleId="Pidipagina">
    <w:name w:val="footer"/>
    <w:basedOn w:val="Normale"/>
    <w:link w:val="PidipaginaCarattere"/>
    <w:uiPriority w:val="99"/>
    <w:unhideWhenUsed/>
    <w:rsid w:val="006C701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C7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432</Words>
  <Characters>2468</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2017-10-19T12:04:00Z</dcterms:created>
  <dcterms:modified xsi:type="dcterms:W3CDTF">2017-10-19T14:26:00Z</dcterms:modified>
</cp:coreProperties>
</file>